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4A968" w14:textId="77777777" w:rsidR="00304B94" w:rsidRPr="00304B94" w:rsidRDefault="00304B94" w:rsidP="00304B94">
      <w:pPr>
        <w:shd w:val="clear" w:color="auto" w:fill="FFFFFF"/>
        <w:spacing w:after="0" w:line="240" w:lineRule="auto"/>
        <w:rPr>
          <w:rFonts w:ascii="Lucida Sans Unicode" w:eastAsia="Times New Roman" w:hAnsi="Lucida Sans Unicode" w:cs="Lucida Sans Unicode"/>
          <w:color w:val="565A5C"/>
          <w:spacing w:val="3"/>
          <w:sz w:val="29"/>
          <w:szCs w:val="29"/>
        </w:rPr>
      </w:pPr>
      <w:r w:rsidRPr="00304B94">
        <w:rPr>
          <w:rFonts w:ascii="Lucida Sans Unicode" w:eastAsia="Times New Roman" w:hAnsi="Lucida Sans Unicode" w:cs="Lucida Sans Unicode"/>
          <w:color w:val="565A5C"/>
          <w:spacing w:val="3"/>
          <w:sz w:val="29"/>
          <w:szCs w:val="29"/>
        </w:rPr>
        <w:fldChar w:fldCharType="begin"/>
      </w:r>
      <w:r w:rsidRPr="00304B94">
        <w:rPr>
          <w:rFonts w:ascii="Lucida Sans Unicode" w:eastAsia="Times New Roman" w:hAnsi="Lucida Sans Unicode" w:cs="Lucida Sans Unicode"/>
          <w:color w:val="565A5C"/>
          <w:spacing w:val="3"/>
          <w:sz w:val="29"/>
          <w:szCs w:val="29"/>
        </w:rPr>
        <w:instrText xml:space="preserve"> HYPERLINK "https://lti.umuc.edu/contentadaptor/page/topic?keyword=Bring%20Your%20Own%20Device%20(BYOD)" </w:instrText>
      </w:r>
      <w:r w:rsidRPr="00304B94">
        <w:rPr>
          <w:rFonts w:ascii="Lucida Sans Unicode" w:eastAsia="Times New Roman" w:hAnsi="Lucida Sans Unicode" w:cs="Lucida Sans Unicode"/>
          <w:color w:val="565A5C"/>
          <w:spacing w:val="3"/>
          <w:sz w:val="29"/>
          <w:szCs w:val="29"/>
        </w:rPr>
        <w:fldChar w:fldCharType="separate"/>
      </w:r>
      <w:r w:rsidRPr="00304B94">
        <w:rPr>
          <w:rFonts w:ascii="Lucida Sans Unicode" w:eastAsia="Times New Roman" w:hAnsi="Lucida Sans Unicode" w:cs="Lucida Sans Unicode"/>
          <w:color w:val="006FBF"/>
          <w:spacing w:val="3"/>
          <w:sz w:val="29"/>
          <w:szCs w:val="29"/>
        </w:rPr>
        <w:t>Print</w:t>
      </w:r>
      <w:r w:rsidRPr="00304B94">
        <w:rPr>
          <w:rFonts w:ascii="Lucida Sans Unicode" w:eastAsia="Times New Roman" w:hAnsi="Lucida Sans Unicode" w:cs="Lucida Sans Unicode"/>
          <w:color w:val="565A5C"/>
          <w:spacing w:val="3"/>
          <w:sz w:val="29"/>
          <w:szCs w:val="29"/>
        </w:rPr>
        <w:fldChar w:fldCharType="end"/>
      </w:r>
    </w:p>
    <w:p w14:paraId="73E3D405" w14:textId="77777777" w:rsidR="00304B94" w:rsidRPr="00304B94" w:rsidRDefault="00304B94" w:rsidP="00304B94">
      <w:pPr>
        <w:shd w:val="clear" w:color="auto" w:fill="FFFFFF"/>
        <w:spacing w:before="100" w:beforeAutospacing="1" w:after="100" w:afterAutospacing="1" w:line="240" w:lineRule="auto"/>
        <w:outlineLvl w:val="0"/>
        <w:rPr>
          <w:rFonts w:ascii="Lucida Sans Unicode" w:eastAsia="Times New Roman" w:hAnsi="Lucida Sans Unicode" w:cs="Lucida Sans Unicode"/>
          <w:color w:val="565A5C"/>
          <w:spacing w:val="3"/>
          <w:kern w:val="36"/>
          <w:sz w:val="48"/>
          <w:szCs w:val="48"/>
        </w:rPr>
      </w:pPr>
      <w:r w:rsidRPr="00304B94">
        <w:rPr>
          <w:rFonts w:ascii="Lucida Sans Unicode" w:eastAsia="Times New Roman" w:hAnsi="Lucida Sans Unicode" w:cs="Lucida Sans Unicode"/>
          <w:color w:val="565A5C"/>
          <w:spacing w:val="3"/>
          <w:kern w:val="36"/>
          <w:sz w:val="48"/>
          <w:szCs w:val="48"/>
        </w:rPr>
        <w:t>Bring Your Own Device (BYOD)</w:t>
      </w:r>
    </w:p>
    <w:p w14:paraId="0649AA79"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Many organizations are adopting policies to allow workers to bring personal computers or mobile devices to work. This practice allows organizations to reduce costs and provides employees with the freedom, flexibility, and convenience of using one device for both personal and business use. While there may be some benefits to adopting a bring your own device (BYOD) policy, there are security risks.</w:t>
      </w:r>
    </w:p>
    <w:p w14:paraId="531D91BD"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Worker-owned devices can now carry sensitive and confidential organizational data. Data access and ownership issues can create risk of data loss. Additionally, use of personal computers for business can bring about security complications. Personal equipment might not always be patched properly, and employees might access website, applications, or other content that would normally be blocked on most company equipment.</w:t>
      </w:r>
    </w:p>
    <w:p w14:paraId="306CD8D3"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proofErr w:type="gramStart"/>
      <w:r w:rsidRPr="00304B94">
        <w:rPr>
          <w:rFonts w:ascii="Times New Roman" w:eastAsia="Times New Roman" w:hAnsi="Times New Roman" w:cs="Times New Roman"/>
          <w:sz w:val="24"/>
          <w:szCs w:val="24"/>
        </w:rPr>
        <w:t>In order to</w:t>
      </w:r>
      <w:proofErr w:type="gramEnd"/>
      <w:r w:rsidRPr="00304B94">
        <w:rPr>
          <w:rFonts w:ascii="Times New Roman" w:eastAsia="Times New Roman" w:hAnsi="Times New Roman" w:cs="Times New Roman"/>
          <w:sz w:val="24"/>
          <w:szCs w:val="24"/>
        </w:rPr>
        <w:t xml:space="preserve"> minimize security risks and maximize effectiveness, organizations must have comprehensive security and BYOD policies. Organizations need to invest in security solutions such as registering personal devices, implementing encryption standards for data protection, and using endpoint protection technology to guard personal devices against attacks. User knowledge of security threats related to using personal devices for business purposes can also help mitigate the risk.</w:t>
      </w:r>
    </w:p>
    <w:p w14:paraId="5AC6F656"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Although implementing security controls directly onto a worker's personal equipment might be a challenge for many organizations, it is imperative that employers design properly documented BYOD policies to mitigate risk and data loss. Employees can focus on user training programs, remote system access, and virtual private networks to help create a more secure environment for personal devices.</w:t>
      </w:r>
    </w:p>
    <w:p w14:paraId="50295083" w14:textId="77777777" w:rsidR="00304B94" w:rsidRPr="00304B94" w:rsidRDefault="00304B94" w:rsidP="00304B94">
      <w:pPr>
        <w:shd w:val="clear" w:color="auto" w:fill="FFFFFF"/>
        <w:spacing w:after="0" w:line="240" w:lineRule="auto"/>
        <w:rPr>
          <w:rFonts w:ascii="Lucida Sans Unicode" w:eastAsia="Times New Roman" w:hAnsi="Lucida Sans Unicode" w:cs="Lucida Sans Unicode"/>
          <w:color w:val="565A5C"/>
          <w:spacing w:val="3"/>
          <w:sz w:val="29"/>
          <w:szCs w:val="29"/>
        </w:rPr>
      </w:pPr>
      <w:hyperlink r:id="rId5" w:history="1">
        <w:r w:rsidRPr="00304B94">
          <w:rPr>
            <w:rFonts w:ascii="Lucida Sans Unicode" w:eastAsia="Times New Roman" w:hAnsi="Lucida Sans Unicode" w:cs="Lucida Sans Unicode"/>
            <w:color w:val="006FBF"/>
            <w:spacing w:val="3"/>
            <w:sz w:val="29"/>
            <w:szCs w:val="29"/>
            <w:u w:val="single"/>
          </w:rPr>
          <w:t>Print</w:t>
        </w:r>
      </w:hyperlink>
    </w:p>
    <w:p w14:paraId="5C0295EB" w14:textId="77777777" w:rsidR="00304B94" w:rsidRPr="00304B94" w:rsidRDefault="00304B94" w:rsidP="00304B94">
      <w:pPr>
        <w:shd w:val="clear" w:color="auto" w:fill="FFFFFF"/>
        <w:spacing w:before="100" w:beforeAutospacing="1" w:after="100" w:afterAutospacing="1" w:line="240" w:lineRule="auto"/>
        <w:outlineLvl w:val="0"/>
        <w:rPr>
          <w:rFonts w:ascii="Lucida Sans Unicode" w:eastAsia="Times New Roman" w:hAnsi="Lucida Sans Unicode" w:cs="Lucida Sans Unicode"/>
          <w:color w:val="565A5C"/>
          <w:spacing w:val="3"/>
          <w:kern w:val="36"/>
          <w:sz w:val="48"/>
          <w:szCs w:val="48"/>
        </w:rPr>
      </w:pPr>
      <w:r w:rsidRPr="00304B94">
        <w:rPr>
          <w:rFonts w:ascii="Lucida Sans Unicode" w:eastAsia="Times New Roman" w:hAnsi="Lucida Sans Unicode" w:cs="Lucida Sans Unicode"/>
          <w:color w:val="565A5C"/>
          <w:spacing w:val="3"/>
          <w:kern w:val="36"/>
          <w:sz w:val="48"/>
          <w:szCs w:val="48"/>
        </w:rPr>
        <w:t>Cybersecurity Incident Report</w:t>
      </w:r>
    </w:p>
    <w:p w14:paraId="6A3E3A86"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Many organizations have cybersecurity response teams dedicated to the handling of incidents -- events that indicate compromises of systems or data loss. When organizations use tools to help detect events, it is important that organizations have a well-defined incident-handling process to help efficiently resolve security issues.</w:t>
      </w:r>
    </w:p>
    <w:p w14:paraId="705824EE"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 xml:space="preserve">During the preparation phase, incident handlers need to make sure that they are familiar with organizational policies and procedures. These policies and procedures should outline information such as drills and escalation contacts. If an incident affects a range of people, critical systems or infrastructure, national security, control systems, economic security, and/or the general health </w:t>
      </w:r>
      <w:r w:rsidRPr="00304B94">
        <w:rPr>
          <w:rFonts w:ascii="Times New Roman" w:eastAsia="Times New Roman" w:hAnsi="Times New Roman" w:cs="Times New Roman"/>
          <w:sz w:val="24"/>
          <w:szCs w:val="24"/>
        </w:rPr>
        <w:lastRenderedPageBreak/>
        <w:t xml:space="preserve">and safety of the public, then it may need to be reported to the federal government. Cybersecurity incidents can be reported to local field offices of the applicable federal agency. The US Justice Department's website lists the federal agencies that assist with </w:t>
      </w:r>
      <w:proofErr w:type="spellStart"/>
      <w:r w:rsidRPr="00304B94">
        <w:rPr>
          <w:rFonts w:ascii="Times New Roman" w:eastAsia="Times New Roman" w:hAnsi="Times New Roman" w:cs="Times New Roman"/>
          <w:sz w:val="24"/>
          <w:szCs w:val="24"/>
        </w:rPr>
        <w:t>cyber crimes</w:t>
      </w:r>
      <w:proofErr w:type="spellEnd"/>
      <w:r w:rsidRPr="00304B94">
        <w:rPr>
          <w:rFonts w:ascii="Times New Roman" w:eastAsia="Times New Roman" w:hAnsi="Times New Roman" w:cs="Times New Roman"/>
          <w:sz w:val="24"/>
          <w:szCs w:val="24"/>
        </w:rPr>
        <w:t xml:space="preserve"> and incidents:</w:t>
      </w:r>
    </w:p>
    <w:p w14:paraId="008DC124" w14:textId="77777777" w:rsidR="00304B94" w:rsidRPr="00304B94" w:rsidRDefault="00304B94" w:rsidP="00304B94">
      <w:pPr>
        <w:spacing w:after="0"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noProof/>
          <w:sz w:val="24"/>
          <w:szCs w:val="24"/>
        </w:rPr>
        <w:drawing>
          <wp:inline distT="0" distB="0" distL="0" distR="0" wp14:anchorId="20B46C66" wp14:editId="44AF4E09">
            <wp:extent cx="5715000" cy="5248275"/>
            <wp:effectExtent l="0" t="0" r="0" b="9525"/>
            <wp:docPr id="1" name="Picture 1" descr="Inforgraphic that details different types of crime and the federal agency that assists with them. Computer Intrusion Hacking is the FBI local office, U.S. Secret Service, and the Internet Crime Compliance Center. Password trafficking is the FBI local office, U.S. Secret Service, and the Internet Crime Compliance Center. Counterfeiting of Currency is the U.S. Secret Service. Child pornography or exploitation is the FBI local office, Internet Crime Complaint Center, U.S. Immigration and Customs Enforcement (if imported). Child exploitation and internet fraud matters that have a mail nexus is U.S. Postal Inspection Service, and Internet Crime Compliant Center. Internet harassment is the FBI Local office, U.S. Secret Service, Federal Trade Commission, and Internet Crime Complaint Center. Internet bomb threats are the FBI local office. Trafficking in explosives or incemdiary devices or firearms over the internet is the FBI local office or ATF local office. Computer intrusion hacking is the FBI local office and ATF local 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graphic that details different types of crime and the federal agency that assists with them. Computer Intrusion Hacking is the FBI local office, U.S. Secret Service, and the Internet Crime Compliance Center. Password trafficking is the FBI local office, U.S. Secret Service, and the Internet Crime Compliance Center. Counterfeiting of Currency is the U.S. Secret Service. Child pornography or exploitation is the FBI local office, Internet Crime Complaint Center, U.S. Immigration and Customs Enforcement (if imported). Child exploitation and internet fraud matters that have a mail nexus is U.S. Postal Inspection Service, and Internet Crime Compliant Center. Internet harassment is the FBI Local office, U.S. Secret Service, Federal Trade Commission, and Internet Crime Complaint Center. Internet bomb threats are the FBI local office. Trafficking in explosives or incemdiary devices or firearms over the internet is the FBI local office or ATF local office. Computer intrusion hacking is the FBI local office and ATF local offi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5248275"/>
                    </a:xfrm>
                    <a:prstGeom prst="rect">
                      <a:avLst/>
                    </a:prstGeom>
                    <a:noFill/>
                    <a:ln>
                      <a:noFill/>
                    </a:ln>
                  </pic:spPr>
                </pic:pic>
              </a:graphicData>
            </a:graphic>
          </wp:inline>
        </w:drawing>
      </w:r>
    </w:p>
    <w:p w14:paraId="59372D29"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color w:val="72777A"/>
          <w:sz w:val="24"/>
          <w:szCs w:val="24"/>
        </w:rPr>
      </w:pPr>
      <w:r w:rsidRPr="00304B94">
        <w:rPr>
          <w:rFonts w:ascii="Times New Roman" w:eastAsia="Times New Roman" w:hAnsi="Times New Roman" w:cs="Times New Roman"/>
          <w:i/>
          <w:iCs/>
          <w:color w:val="72777A"/>
          <w:sz w:val="24"/>
          <w:szCs w:val="24"/>
        </w:rPr>
        <w:t>Source:</w:t>
      </w:r>
      <w:r w:rsidRPr="00304B94">
        <w:rPr>
          <w:rFonts w:ascii="Times New Roman" w:eastAsia="Times New Roman" w:hAnsi="Times New Roman" w:cs="Times New Roman"/>
          <w:color w:val="72777A"/>
          <w:sz w:val="24"/>
          <w:szCs w:val="24"/>
        </w:rPr>
        <w:t> US Department of Justice. Reporting computer, Internet-related, or intellectual property crime. In the public domain. Retrieved from https://www.justice.gov/criminal-ccips/reporting-computer-internet-related-or-intellectual-property-crime</w:t>
      </w:r>
    </w:p>
    <w:p w14:paraId="34CC68BF"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The table lists a few of the agencies; however, there are more agencies that work on cybercrime such as the National Cyber Investigative Joint Task Force (intrusions and crimes), and the National Cybersecurity and Communications Integration Center (assistance with removing adversary and restoring operations).</w:t>
      </w:r>
    </w:p>
    <w:p w14:paraId="20DB2714"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lastRenderedPageBreak/>
        <w:t>The United States Computer Emergency Readiness Team (US-CERT) also assists with handling security incidents and analysis, and includes an online form for reporting information: https://www.us-cert.gov/forms/report</w:t>
      </w:r>
    </w:p>
    <w:p w14:paraId="1276ECE1"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The online form requires the reporter's and affect user's contact information, the type of organization, the critical infrastructure owner or operator, time zone, incident start time, incident detection, impact details and threat vectors (US-CERT). When planning for incident response, it is imperative to have this information.</w:t>
      </w:r>
    </w:p>
    <w:p w14:paraId="776A3992"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When creating an internal incident report, include similar information such as provided below by the Department of Defense's Defense Security Cooperation Agency (Multinational Industrial Security Working Group, 2013):</w:t>
      </w:r>
    </w:p>
    <w:p w14:paraId="412F7AF8" w14:textId="77777777" w:rsidR="00304B94" w:rsidRPr="00304B94" w:rsidRDefault="00304B94" w:rsidP="00304B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reported by (name, position, telephone number, e-mail)</w:t>
      </w:r>
    </w:p>
    <w:p w14:paraId="558D4958" w14:textId="77777777" w:rsidR="00304B94" w:rsidRPr="00304B94" w:rsidRDefault="00304B94" w:rsidP="00304B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business unit details and internal reporting (manager, department)</w:t>
      </w:r>
    </w:p>
    <w:p w14:paraId="28439939" w14:textId="77777777" w:rsidR="00304B94" w:rsidRPr="00304B94" w:rsidRDefault="00304B94" w:rsidP="00304B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incident details and impact level (dates, affected systems, what happened, classification level, system compromise, type of system, level of impact, government involvement needed/reporting, number of systems, action taken, supporting documents, current incident status)</w:t>
      </w:r>
    </w:p>
    <w:p w14:paraId="4459FAE5" w14:textId="77777777" w:rsidR="00304B94" w:rsidRPr="00304B94" w:rsidRDefault="00304B94" w:rsidP="00304B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mitigation actions (details, results, additional assistance required)</w:t>
      </w:r>
    </w:p>
    <w:p w14:paraId="4AFAFF34" w14:textId="77777777" w:rsidR="00304B94" w:rsidRPr="00304B94" w:rsidRDefault="00304B94" w:rsidP="00304B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computer network defense incident type (type of malware, vulnerability exploit, disruption of service, access violation, accident or error, user involvement, origin of attack</w:t>
      </w:r>
    </w:p>
    <w:p w14:paraId="1A1D49D5" w14:textId="77777777" w:rsidR="00304B94" w:rsidRPr="00304B94" w:rsidRDefault="00304B94" w:rsidP="00304B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systems affected (network, type of system, operating system, protocols, applications)</w:t>
      </w:r>
    </w:p>
    <w:p w14:paraId="70A61EFB" w14:textId="77777777" w:rsidR="00304B94" w:rsidRPr="00304B94" w:rsidRDefault="00304B94" w:rsidP="00304B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follow-up activities (has information been provided to authorities, next steps)</w:t>
      </w:r>
    </w:p>
    <w:p w14:paraId="2FFF82A3" w14:textId="77777777" w:rsidR="00304B94" w:rsidRPr="00304B94" w:rsidRDefault="00304B94" w:rsidP="00304B94">
      <w:pPr>
        <w:spacing w:before="100" w:beforeAutospacing="1" w:after="100" w:afterAutospacing="1" w:line="240" w:lineRule="auto"/>
        <w:outlineLvl w:val="1"/>
        <w:rPr>
          <w:rFonts w:ascii="inherit" w:eastAsia="Times New Roman" w:hAnsi="inherit" w:cs="Times New Roman"/>
          <w:sz w:val="36"/>
          <w:szCs w:val="36"/>
        </w:rPr>
      </w:pPr>
      <w:r w:rsidRPr="00304B94">
        <w:rPr>
          <w:rFonts w:ascii="inherit" w:eastAsia="Times New Roman" w:hAnsi="inherit" w:cs="Times New Roman"/>
          <w:sz w:val="36"/>
          <w:szCs w:val="36"/>
        </w:rPr>
        <w:t>References</w:t>
      </w:r>
    </w:p>
    <w:p w14:paraId="78438000"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Multinational Industrial Security Working Group. (2013, December 20). Cyber security incident report format. In </w:t>
      </w:r>
      <w:r w:rsidRPr="00304B94">
        <w:rPr>
          <w:rFonts w:ascii="Times New Roman" w:eastAsia="Times New Roman" w:hAnsi="Times New Roman" w:cs="Times New Roman"/>
          <w:i/>
          <w:iCs/>
          <w:sz w:val="24"/>
          <w:szCs w:val="24"/>
        </w:rPr>
        <w:t>International Programs Security Handbook</w:t>
      </w:r>
      <w:r w:rsidRPr="00304B94">
        <w:rPr>
          <w:rFonts w:ascii="Times New Roman" w:eastAsia="Times New Roman" w:hAnsi="Times New Roman" w:cs="Times New Roman"/>
          <w:sz w:val="24"/>
          <w:szCs w:val="24"/>
        </w:rPr>
        <w:t>, Defense Security Cooperation Agency, Department of Defense. Retrieved from http://www.discs.dsca.mil/documents/ips/AppJJ_062015.pdf</w:t>
      </w:r>
    </w:p>
    <w:p w14:paraId="50928991"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United States Computer Emergency Readiness Team (US-CERT). (n.d.). US-CERT incident reporting system. Retrieved from https://www.us-cert.gov/forms/report</w:t>
      </w:r>
    </w:p>
    <w:p w14:paraId="05C51D05" w14:textId="77777777" w:rsidR="00304B94" w:rsidRPr="00304B94" w:rsidRDefault="00304B94" w:rsidP="00304B94">
      <w:pPr>
        <w:shd w:val="clear" w:color="auto" w:fill="FFFFFF"/>
        <w:spacing w:after="0" w:line="240" w:lineRule="auto"/>
        <w:rPr>
          <w:rFonts w:ascii="Lucida Sans Unicode" w:eastAsia="Times New Roman" w:hAnsi="Lucida Sans Unicode" w:cs="Lucida Sans Unicode"/>
          <w:color w:val="565A5C"/>
          <w:spacing w:val="3"/>
          <w:sz w:val="29"/>
          <w:szCs w:val="29"/>
        </w:rPr>
      </w:pPr>
      <w:hyperlink r:id="rId7" w:history="1">
        <w:r w:rsidRPr="00304B94">
          <w:rPr>
            <w:rFonts w:ascii="Lucida Sans Unicode" w:eastAsia="Times New Roman" w:hAnsi="Lucida Sans Unicode" w:cs="Lucida Sans Unicode"/>
            <w:color w:val="006FBF"/>
            <w:spacing w:val="3"/>
            <w:sz w:val="29"/>
            <w:szCs w:val="29"/>
          </w:rPr>
          <w:t>Print</w:t>
        </w:r>
      </w:hyperlink>
    </w:p>
    <w:p w14:paraId="75F70415" w14:textId="77777777" w:rsidR="00304B94" w:rsidRPr="00304B94" w:rsidRDefault="00304B94" w:rsidP="00304B94">
      <w:pPr>
        <w:shd w:val="clear" w:color="auto" w:fill="FFFFFF"/>
        <w:spacing w:before="100" w:beforeAutospacing="1" w:after="100" w:afterAutospacing="1" w:line="240" w:lineRule="auto"/>
        <w:outlineLvl w:val="0"/>
        <w:rPr>
          <w:rFonts w:ascii="Lucida Sans Unicode" w:eastAsia="Times New Roman" w:hAnsi="Lucida Sans Unicode" w:cs="Lucida Sans Unicode"/>
          <w:color w:val="565A5C"/>
          <w:spacing w:val="3"/>
          <w:kern w:val="36"/>
          <w:sz w:val="48"/>
          <w:szCs w:val="48"/>
        </w:rPr>
      </w:pPr>
      <w:r w:rsidRPr="00304B94">
        <w:rPr>
          <w:rFonts w:ascii="Lucida Sans Unicode" w:eastAsia="Times New Roman" w:hAnsi="Lucida Sans Unicode" w:cs="Lucida Sans Unicode"/>
          <w:color w:val="565A5C"/>
          <w:spacing w:val="3"/>
          <w:kern w:val="36"/>
          <w:sz w:val="48"/>
          <w:szCs w:val="48"/>
        </w:rPr>
        <w:t>Rogue Access Points</w:t>
      </w:r>
    </w:p>
    <w:p w14:paraId="20648D78"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Rogue access points are unauthorized access points (APs) to a network. Rogue access points can be set up by malicious actors or by workers within an organization.</w:t>
      </w:r>
    </w:p>
    <w:p w14:paraId="4C94078A"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lastRenderedPageBreak/>
        <w:t>Rogue access points are a common source of attack, and organizations need to ensure that they are protected. Most often, rogue access points can be identified by cross-referencing the service set identifier (SSID) against a preconfigured list of approved access points. This is because rogue access points frequently broadcast SSIDs that are not approved by the organization.</w:t>
      </w:r>
    </w:p>
    <w:p w14:paraId="65F215E4"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Rogue access points are vulnerable to certain attacks such as Address Resolution Protocol (ARP) poisoning, denial-of-service attacks, sniffing attacks to identify further vulnerabilities, and man-in- the-middle attacks. In some cases, spoofing legitimate access point SSIDs while providing a different login page can compromise sensitive user information. This type of attack is known as an "evil twin" attack (</w:t>
      </w:r>
      <w:proofErr w:type="spellStart"/>
      <w:r w:rsidRPr="00304B94">
        <w:rPr>
          <w:rFonts w:ascii="Times New Roman" w:eastAsia="Times New Roman" w:hAnsi="Times New Roman" w:cs="Times New Roman"/>
          <w:sz w:val="24"/>
          <w:szCs w:val="24"/>
        </w:rPr>
        <w:t>Saruhan</w:t>
      </w:r>
      <w:proofErr w:type="spellEnd"/>
      <w:r w:rsidRPr="00304B94">
        <w:rPr>
          <w:rFonts w:ascii="Times New Roman" w:eastAsia="Times New Roman" w:hAnsi="Times New Roman" w:cs="Times New Roman"/>
          <w:sz w:val="24"/>
          <w:szCs w:val="24"/>
        </w:rPr>
        <w:t>, 2007).</w:t>
      </w:r>
    </w:p>
    <w:p w14:paraId="133EC717"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 xml:space="preserve">In some cases, access points are set up directly between two client devices. These ad hoc access points </w:t>
      </w:r>
      <w:proofErr w:type="gramStart"/>
      <w:r w:rsidRPr="00304B94">
        <w:rPr>
          <w:rFonts w:ascii="Times New Roman" w:eastAsia="Times New Roman" w:hAnsi="Times New Roman" w:cs="Times New Roman"/>
          <w:sz w:val="24"/>
          <w:szCs w:val="24"/>
        </w:rPr>
        <w:t>are considered to be</w:t>
      </w:r>
      <w:proofErr w:type="gramEnd"/>
      <w:r w:rsidRPr="00304B94">
        <w:rPr>
          <w:rFonts w:ascii="Times New Roman" w:eastAsia="Times New Roman" w:hAnsi="Times New Roman" w:cs="Times New Roman"/>
          <w:sz w:val="24"/>
          <w:szCs w:val="24"/>
        </w:rPr>
        <w:t xml:space="preserve"> rogue by default, as they provide a vulnerable means for compromise because they are not directly managed by the organization's security team. Additionally, rogue access points might have a media access control (MAC) address that is not recognized in the organization's ARP tables.</w:t>
      </w:r>
    </w:p>
    <w:p w14:paraId="6A68691D"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proofErr w:type="gramStart"/>
      <w:r w:rsidRPr="00304B94">
        <w:rPr>
          <w:rFonts w:ascii="Times New Roman" w:eastAsia="Times New Roman" w:hAnsi="Times New Roman" w:cs="Times New Roman"/>
          <w:sz w:val="24"/>
          <w:szCs w:val="24"/>
        </w:rPr>
        <w:t>In order for</w:t>
      </w:r>
      <w:proofErr w:type="gramEnd"/>
      <w:r w:rsidRPr="00304B94">
        <w:rPr>
          <w:rFonts w:ascii="Times New Roman" w:eastAsia="Times New Roman" w:hAnsi="Times New Roman" w:cs="Times New Roman"/>
          <w:sz w:val="24"/>
          <w:szCs w:val="24"/>
        </w:rPr>
        <w:t xml:space="preserve"> organizations to be better protected against rogue access points, organizations need to ensure they establish strict policies and classification rules to help identify rogue APs. Additionally, these lists require constant monitoring and updating so organizations become more efficient in identifying and remediating rogue AP issues (Juniper, 2015). </w:t>
      </w:r>
      <w:proofErr w:type="gramStart"/>
      <w:r w:rsidRPr="00304B94">
        <w:rPr>
          <w:rFonts w:ascii="Times New Roman" w:eastAsia="Times New Roman" w:hAnsi="Times New Roman" w:cs="Times New Roman"/>
          <w:sz w:val="24"/>
          <w:szCs w:val="24"/>
        </w:rPr>
        <w:t>Through the use of</w:t>
      </w:r>
      <w:proofErr w:type="gramEnd"/>
      <w:r w:rsidRPr="00304B94">
        <w:rPr>
          <w:rFonts w:ascii="Times New Roman" w:eastAsia="Times New Roman" w:hAnsi="Times New Roman" w:cs="Times New Roman"/>
          <w:sz w:val="24"/>
          <w:szCs w:val="24"/>
        </w:rPr>
        <w:t xml:space="preserve"> consistent detailed policy, vigilance, and efficient investigation, organizations can be better protected from rogue access points and the vulnerabilities they create.</w:t>
      </w:r>
    </w:p>
    <w:p w14:paraId="42955A5F"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b/>
          <w:bCs/>
          <w:sz w:val="24"/>
          <w:szCs w:val="24"/>
        </w:rPr>
        <w:t>References</w:t>
      </w:r>
    </w:p>
    <w:p w14:paraId="76B8CA5F"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proofErr w:type="spellStart"/>
      <w:r w:rsidRPr="00304B94">
        <w:rPr>
          <w:rFonts w:ascii="Times New Roman" w:eastAsia="Times New Roman" w:hAnsi="Times New Roman" w:cs="Times New Roman"/>
          <w:sz w:val="24"/>
          <w:szCs w:val="24"/>
        </w:rPr>
        <w:t>Saruhan</w:t>
      </w:r>
      <w:proofErr w:type="spellEnd"/>
      <w:r w:rsidRPr="00304B94">
        <w:rPr>
          <w:rFonts w:ascii="Times New Roman" w:eastAsia="Times New Roman" w:hAnsi="Times New Roman" w:cs="Times New Roman"/>
          <w:sz w:val="24"/>
          <w:szCs w:val="24"/>
        </w:rPr>
        <w:t>, I. H. (2007, August). Detecting and preventing rogue devices on the network. </w:t>
      </w:r>
      <w:r w:rsidRPr="00304B94">
        <w:rPr>
          <w:rFonts w:ascii="Times New Roman" w:eastAsia="Times New Roman" w:hAnsi="Times New Roman" w:cs="Times New Roman"/>
          <w:i/>
          <w:iCs/>
          <w:sz w:val="24"/>
          <w:szCs w:val="24"/>
        </w:rPr>
        <w:t>SANS Institute</w:t>
      </w:r>
      <w:r w:rsidRPr="00304B94">
        <w:rPr>
          <w:rFonts w:ascii="Times New Roman" w:eastAsia="Times New Roman" w:hAnsi="Times New Roman" w:cs="Times New Roman"/>
          <w:sz w:val="24"/>
          <w:szCs w:val="24"/>
        </w:rPr>
        <w:t>. Retrieved from https://www.google.com/url?sa=t&amp;rct=j&amp;q=&amp;esrc=s&amp;source=web&amp;cd=1&amp;cad=rja&amp;uact=8&amp;ved=0ahUKEwj2lqaygO3RAhUBhiYKHV0wAtoQFggaMAA&amp;url=https%3A%2F%2Fwww.sans.org%2Freading-room%2Fwhitepapers%2Fdetection%2Fdetecting-preventing-rogue-devices-network-1866&amp;usg=AFQjCNGiS-hQgbeTlsXnRmqv1Gdd9HQoVg&amp;bvm=bv.145822982,d.eWE</w:t>
      </w:r>
    </w:p>
    <w:p w14:paraId="2A3892E1"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Juniper Networks. (2015). Understanding rogue access points. Retrieved from http://www.juniper.net/documentation/en_US/junos-space-apps/network-director2.0/topics/concept/wireless-rogue-ap.html</w:t>
      </w:r>
    </w:p>
    <w:p w14:paraId="6D89507E" w14:textId="77777777" w:rsidR="007B5DB8" w:rsidRPr="007B5DB8" w:rsidRDefault="007B5DB8" w:rsidP="007B5DB8">
      <w:pPr>
        <w:spacing w:before="300" w:after="150" w:line="240" w:lineRule="auto"/>
        <w:outlineLvl w:val="0"/>
        <w:rPr>
          <w:rFonts w:ascii="Helvetica" w:eastAsia="Times New Roman" w:hAnsi="Helvetica" w:cs="Helvetica"/>
          <w:color w:val="333333"/>
          <w:kern w:val="36"/>
          <w:sz w:val="54"/>
          <w:szCs w:val="54"/>
        </w:rPr>
      </w:pPr>
      <w:r w:rsidRPr="007B5DB8">
        <w:rPr>
          <w:rFonts w:ascii="Helvetica" w:eastAsia="Times New Roman" w:hAnsi="Helvetica" w:cs="Helvetica"/>
          <w:color w:val="333333"/>
          <w:kern w:val="36"/>
          <w:sz w:val="54"/>
          <w:szCs w:val="54"/>
        </w:rPr>
        <w:t>What Are Access Points?</w:t>
      </w:r>
    </w:p>
    <w:p w14:paraId="47E1D80D"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Access points are integral to the cataloging process and for retrieving information. In adhering to an established set of cataloging standards, libraries use access points to categorize and access information and works within their collection. Although any keyword search found within the description of a record may be considered an access point, there is an established form of using consistent, authorized settings to provide better search results. Access points are “doorways to the information” (</w:t>
      </w:r>
      <w:proofErr w:type="spellStart"/>
      <w:r w:rsidRPr="007B5DB8">
        <w:rPr>
          <w:rFonts w:ascii="Helvetica" w:eastAsia="Times New Roman" w:hAnsi="Helvetica" w:cs="Helvetica"/>
          <w:color w:val="333333"/>
          <w:sz w:val="21"/>
          <w:szCs w:val="21"/>
        </w:rPr>
        <w:t>Maleszewski</w:t>
      </w:r>
      <w:proofErr w:type="spellEnd"/>
      <w:r w:rsidRPr="007B5DB8">
        <w:rPr>
          <w:rFonts w:ascii="Helvetica" w:eastAsia="Times New Roman" w:hAnsi="Helvetica" w:cs="Helvetica"/>
          <w:color w:val="333333"/>
          <w:sz w:val="21"/>
          <w:szCs w:val="21"/>
        </w:rPr>
        <w:t>, 2010), unique identifiers that can lead to the resource.</w:t>
      </w:r>
    </w:p>
    <w:p w14:paraId="3E2A4250"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lastRenderedPageBreak/>
        <w:t>According to the Library of Congress, a formal definition of “access point” is:</w:t>
      </w:r>
    </w:p>
    <w:p w14:paraId="763EDDDC"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A name, term, code, etc., under which a bibliographic record may be searched and identified in a computer system or card catalog. In cataloging, access points are the names, subject headings, ISBNs, etc., which lead to the bibliographic record. (http://www.itsmarc.com/crs/auth1503.htm)</w:t>
      </w:r>
    </w:p>
    <w:p w14:paraId="64D24937"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Access points are searchable fields. Besides 245 and 246, most of the access points are in:</w:t>
      </w:r>
    </w:p>
    <w:p w14:paraId="724FAC67"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1XX (main entry)</w:t>
      </w:r>
    </w:p>
    <w:p w14:paraId="7595DB0F"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4XX (series)</w:t>
      </w:r>
    </w:p>
    <w:p w14:paraId="1101C12B"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6XX (subject headings)</w:t>
      </w:r>
    </w:p>
    <w:p w14:paraId="0B5C45B2"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7XX (added entries)</w:t>
      </w:r>
    </w:p>
    <w:p w14:paraId="6DEA848B"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8XX (series traced another way)</w:t>
      </w:r>
    </w:p>
    <w:p w14:paraId="58EBC241"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(www.lcls.org)</w:t>
      </w:r>
    </w:p>
    <w:p w14:paraId="678817E5"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These fields "require authority control</w:t>
      </w:r>
      <w:proofErr w:type="gramStart"/>
      <w:r w:rsidRPr="007B5DB8">
        <w:rPr>
          <w:rFonts w:ascii="Helvetica" w:eastAsia="Times New Roman" w:hAnsi="Helvetica" w:cs="Helvetica"/>
          <w:color w:val="333333"/>
          <w:sz w:val="21"/>
          <w:szCs w:val="21"/>
        </w:rPr>
        <w:t>….As</w:t>
      </w:r>
      <w:proofErr w:type="gramEnd"/>
      <w:r w:rsidRPr="007B5DB8">
        <w:rPr>
          <w:rFonts w:ascii="Helvetica" w:eastAsia="Times New Roman" w:hAnsi="Helvetica" w:cs="Helvetica"/>
          <w:color w:val="333333"/>
          <w:sz w:val="21"/>
          <w:szCs w:val="21"/>
        </w:rPr>
        <w:t xml:space="preserve"> long as authorized headings are used, all the books on one subject, or by a particular author, or in a series, should be in the same place in the online catalog or card catalog" (www.lcls.org). Standardized numbers such as ISBN or ISSN numbers (which are searchable) are also considered access points.</w:t>
      </w:r>
    </w:p>
    <w:p w14:paraId="6B0995B0"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 xml:space="preserve">I found two relevant articles on access points from Cataloging &amp; Classification Quarterly: "Introduction to the Conference" by Mauro Guerrini and "The Item, the Work, and the Object of Cataloging" by </w:t>
      </w:r>
      <w:proofErr w:type="spellStart"/>
      <w:r w:rsidRPr="007B5DB8">
        <w:rPr>
          <w:rFonts w:ascii="Helvetica" w:eastAsia="Times New Roman" w:hAnsi="Helvetica" w:cs="Helvetica"/>
          <w:color w:val="333333"/>
          <w:sz w:val="21"/>
          <w:szCs w:val="21"/>
        </w:rPr>
        <w:t>Eliane</w:t>
      </w:r>
      <w:proofErr w:type="spellEnd"/>
      <w:r w:rsidRPr="007B5DB8">
        <w:rPr>
          <w:rFonts w:ascii="Helvetica" w:eastAsia="Times New Roman" w:hAnsi="Helvetica" w:cs="Helvetica"/>
          <w:color w:val="333333"/>
          <w:sz w:val="21"/>
          <w:szCs w:val="21"/>
        </w:rPr>
        <w:t xml:space="preserve"> </w:t>
      </w:r>
      <w:proofErr w:type="spellStart"/>
      <w:r w:rsidRPr="007B5DB8">
        <w:rPr>
          <w:rFonts w:ascii="Helvetica" w:eastAsia="Times New Roman" w:hAnsi="Helvetica" w:cs="Helvetica"/>
          <w:color w:val="333333"/>
          <w:sz w:val="21"/>
          <w:szCs w:val="21"/>
        </w:rPr>
        <w:t>Seirao</w:t>
      </w:r>
      <w:proofErr w:type="spellEnd"/>
      <w:r w:rsidRPr="007B5DB8">
        <w:rPr>
          <w:rFonts w:ascii="Helvetica" w:eastAsia="Times New Roman" w:hAnsi="Helvetica" w:cs="Helvetica"/>
          <w:color w:val="333333"/>
          <w:sz w:val="21"/>
          <w:szCs w:val="21"/>
        </w:rPr>
        <w:t xml:space="preserve"> Alves </w:t>
      </w:r>
      <w:proofErr w:type="spellStart"/>
      <w:r w:rsidRPr="007B5DB8">
        <w:rPr>
          <w:rFonts w:ascii="Helvetica" w:eastAsia="Times New Roman" w:hAnsi="Helvetica" w:cs="Helvetica"/>
          <w:color w:val="333333"/>
          <w:sz w:val="21"/>
          <w:szCs w:val="21"/>
        </w:rPr>
        <w:t>Mey</w:t>
      </w:r>
      <w:proofErr w:type="spellEnd"/>
      <w:r w:rsidRPr="007B5DB8">
        <w:rPr>
          <w:rFonts w:ascii="Helvetica" w:eastAsia="Times New Roman" w:hAnsi="Helvetica" w:cs="Helvetica"/>
          <w:color w:val="333333"/>
          <w:sz w:val="21"/>
          <w:szCs w:val="21"/>
        </w:rPr>
        <w:t>. Guerrini explains the conference's need to reaffirm a standard for "effective cataloguing (which) requires controlling the consistency of the form of access points to information so that users can find, identify, select and obtain the information available in a bibliography or catalogue....Without authority control, the linking and syndetic structures of the catalogue have feet of clay" (Guerrini, 2004, p.6).</w:t>
      </w:r>
    </w:p>
    <w:p w14:paraId="69C0778C" w14:textId="77777777" w:rsidR="007B5DB8" w:rsidRPr="007B5DB8" w:rsidRDefault="007B5DB8" w:rsidP="007B5DB8">
      <w:pPr>
        <w:spacing w:after="150" w:line="240" w:lineRule="auto"/>
        <w:rPr>
          <w:rFonts w:ascii="Helvetica" w:eastAsia="Times New Roman" w:hAnsi="Helvetica" w:cs="Helvetica"/>
          <w:color w:val="333333"/>
          <w:sz w:val="21"/>
          <w:szCs w:val="21"/>
        </w:rPr>
      </w:pPr>
      <w:proofErr w:type="spellStart"/>
      <w:r w:rsidRPr="007B5DB8">
        <w:rPr>
          <w:rFonts w:ascii="Helvetica" w:eastAsia="Times New Roman" w:hAnsi="Helvetica" w:cs="Helvetica"/>
          <w:color w:val="333333"/>
          <w:sz w:val="21"/>
          <w:szCs w:val="21"/>
        </w:rPr>
        <w:t>Seirao</w:t>
      </w:r>
      <w:proofErr w:type="spellEnd"/>
      <w:r w:rsidRPr="007B5DB8">
        <w:rPr>
          <w:rFonts w:ascii="Helvetica" w:eastAsia="Times New Roman" w:hAnsi="Helvetica" w:cs="Helvetica"/>
          <w:color w:val="333333"/>
          <w:sz w:val="21"/>
          <w:szCs w:val="21"/>
        </w:rPr>
        <w:t xml:space="preserve"> Alves </w:t>
      </w:r>
      <w:proofErr w:type="spellStart"/>
      <w:r w:rsidRPr="007B5DB8">
        <w:rPr>
          <w:rFonts w:ascii="Helvetica" w:eastAsia="Times New Roman" w:hAnsi="Helvetica" w:cs="Helvetica"/>
          <w:color w:val="333333"/>
          <w:sz w:val="21"/>
          <w:szCs w:val="21"/>
        </w:rPr>
        <w:t>Mey's</w:t>
      </w:r>
      <w:proofErr w:type="spellEnd"/>
      <w:r w:rsidRPr="007B5DB8">
        <w:rPr>
          <w:rFonts w:ascii="Helvetica" w:eastAsia="Times New Roman" w:hAnsi="Helvetica" w:cs="Helvetica"/>
          <w:color w:val="333333"/>
          <w:sz w:val="21"/>
          <w:szCs w:val="21"/>
        </w:rPr>
        <w:t xml:space="preserve"> article agrees with Guerrini's, yet takes a more detailed approach, explaining its origins, meaning, and importance. Her article contends that the services and products of library science "constitute a process of communication, which intends to establish a connection between knowledge records and users” (</w:t>
      </w:r>
      <w:proofErr w:type="spellStart"/>
      <w:r w:rsidRPr="007B5DB8">
        <w:rPr>
          <w:rFonts w:ascii="Helvetica" w:eastAsia="Times New Roman" w:hAnsi="Helvetica" w:cs="Helvetica"/>
          <w:color w:val="333333"/>
          <w:sz w:val="21"/>
          <w:szCs w:val="21"/>
        </w:rPr>
        <w:t>Mey</w:t>
      </w:r>
      <w:proofErr w:type="spellEnd"/>
      <w:r w:rsidRPr="007B5DB8">
        <w:rPr>
          <w:rFonts w:ascii="Helvetica" w:eastAsia="Times New Roman" w:hAnsi="Helvetica" w:cs="Helvetica"/>
          <w:color w:val="333333"/>
          <w:sz w:val="21"/>
          <w:szCs w:val="21"/>
        </w:rPr>
        <w:t xml:space="preserve">, 1998, p. 47). </w:t>
      </w:r>
      <w:proofErr w:type="spellStart"/>
      <w:r w:rsidRPr="007B5DB8">
        <w:rPr>
          <w:rFonts w:ascii="Helvetica" w:eastAsia="Times New Roman" w:hAnsi="Helvetica" w:cs="Helvetica"/>
          <w:color w:val="333333"/>
          <w:sz w:val="21"/>
          <w:szCs w:val="21"/>
        </w:rPr>
        <w:t>Mey</w:t>
      </w:r>
      <w:proofErr w:type="spellEnd"/>
      <w:r w:rsidRPr="007B5DB8">
        <w:rPr>
          <w:rFonts w:ascii="Helvetica" w:eastAsia="Times New Roman" w:hAnsi="Helvetica" w:cs="Helvetica"/>
          <w:color w:val="333333"/>
          <w:sz w:val="21"/>
          <w:szCs w:val="21"/>
        </w:rPr>
        <w:t xml:space="preserve"> describes access points as "names, terms, expressions, letters, and/or numbers which represent some pre-established characteristics of works, in a codified and uniform manner…it means that we don't assign access points to all bibliographic characteristics of an item, but only to responsibilities, titles, and subject of the work or item. These access points are codes because they represent these characteristics; they "are for them" (</w:t>
      </w:r>
      <w:proofErr w:type="spellStart"/>
      <w:r w:rsidRPr="007B5DB8">
        <w:rPr>
          <w:rFonts w:ascii="Helvetica" w:eastAsia="Times New Roman" w:hAnsi="Helvetica" w:cs="Helvetica"/>
          <w:color w:val="333333"/>
          <w:sz w:val="21"/>
          <w:szCs w:val="21"/>
        </w:rPr>
        <w:t>Mey</w:t>
      </w:r>
      <w:proofErr w:type="spellEnd"/>
      <w:r w:rsidRPr="007B5DB8">
        <w:rPr>
          <w:rFonts w:ascii="Helvetica" w:eastAsia="Times New Roman" w:hAnsi="Helvetica" w:cs="Helvetica"/>
          <w:color w:val="333333"/>
          <w:sz w:val="21"/>
          <w:szCs w:val="21"/>
        </w:rPr>
        <w:t>, 1998, p. 51). Thus, it is evident that consistency in the creation of access points in cataloguing is vital for the successful retrieval of information.</w:t>
      </w:r>
    </w:p>
    <w:p w14:paraId="17B72462" w14:textId="77777777" w:rsidR="007B5DB8" w:rsidRPr="007B5DB8" w:rsidRDefault="007B5DB8" w:rsidP="007B5DB8">
      <w:pPr>
        <w:spacing w:before="300" w:after="150" w:line="240" w:lineRule="auto"/>
        <w:outlineLvl w:val="1"/>
        <w:rPr>
          <w:rFonts w:ascii="Helvetica" w:eastAsia="Times New Roman" w:hAnsi="Helvetica" w:cs="Helvetica"/>
          <w:color w:val="333333"/>
          <w:sz w:val="45"/>
          <w:szCs w:val="45"/>
        </w:rPr>
      </w:pPr>
      <w:r w:rsidRPr="007B5DB8">
        <w:rPr>
          <w:rFonts w:ascii="Helvetica" w:eastAsia="Times New Roman" w:hAnsi="Helvetica" w:cs="Helvetica"/>
          <w:color w:val="333333"/>
          <w:sz w:val="45"/>
          <w:szCs w:val="45"/>
        </w:rPr>
        <w:t>References</w:t>
      </w:r>
    </w:p>
    <w:p w14:paraId="67FB7401"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 xml:space="preserve">Guerrini, Mauro. (2004). “Introduction to the conference”, Cataloging &amp; Classification Quarterly, 38 (3) 5-9. </w:t>
      </w:r>
      <w:proofErr w:type="spellStart"/>
      <w:r w:rsidRPr="007B5DB8">
        <w:rPr>
          <w:rFonts w:ascii="Helvetica" w:eastAsia="Times New Roman" w:hAnsi="Helvetica" w:cs="Helvetica"/>
          <w:color w:val="333333"/>
          <w:sz w:val="21"/>
          <w:szCs w:val="21"/>
        </w:rPr>
        <w:t>Doi</w:t>
      </w:r>
      <w:proofErr w:type="spellEnd"/>
      <w:r w:rsidRPr="007B5DB8">
        <w:rPr>
          <w:rFonts w:ascii="Helvetica" w:eastAsia="Times New Roman" w:hAnsi="Helvetica" w:cs="Helvetica"/>
          <w:color w:val="333333"/>
          <w:sz w:val="21"/>
          <w:szCs w:val="21"/>
        </w:rPr>
        <w:t>: 10.1300/J104v38n03_02</w:t>
      </w:r>
    </w:p>
    <w:p w14:paraId="349E313E"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Lewis and Clark Library System. (2000) “Access Points”, Retrieved 6/21/2010 from www.lcls.org/wp-content/uploads/2009/06/pdf/AccessPoints.pdf.</w:t>
      </w:r>
    </w:p>
    <w:p w14:paraId="33D3DA10"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Library of Congress Classification Outline (1990), Sixth Edition, “Access Points”, Itsmarc.com. Retrieved 6/21/2010 from (http://www.itsmarc.com/crs/auth1503.htm).</w:t>
      </w:r>
    </w:p>
    <w:p w14:paraId="616156AD" w14:textId="77777777" w:rsidR="007B5DB8" w:rsidRPr="007B5DB8" w:rsidRDefault="007B5DB8" w:rsidP="007B5DB8">
      <w:pPr>
        <w:spacing w:after="150" w:line="240" w:lineRule="auto"/>
        <w:rPr>
          <w:rFonts w:ascii="Helvetica" w:eastAsia="Times New Roman" w:hAnsi="Helvetica" w:cs="Helvetica"/>
          <w:color w:val="333333"/>
          <w:sz w:val="21"/>
          <w:szCs w:val="21"/>
        </w:rPr>
      </w:pPr>
      <w:proofErr w:type="spellStart"/>
      <w:r w:rsidRPr="007B5DB8">
        <w:rPr>
          <w:rFonts w:ascii="Helvetica" w:eastAsia="Times New Roman" w:hAnsi="Helvetica" w:cs="Helvetica"/>
          <w:color w:val="333333"/>
          <w:sz w:val="21"/>
          <w:szCs w:val="21"/>
        </w:rPr>
        <w:t>Maleszewski</w:t>
      </w:r>
      <w:proofErr w:type="spellEnd"/>
      <w:r w:rsidRPr="007B5DB8">
        <w:rPr>
          <w:rFonts w:ascii="Helvetica" w:eastAsia="Times New Roman" w:hAnsi="Helvetica" w:cs="Helvetica"/>
          <w:color w:val="333333"/>
          <w:sz w:val="21"/>
          <w:szCs w:val="21"/>
        </w:rPr>
        <w:t>, Ellen (2010). “The Knowledge of Organization”. (</w:t>
      </w:r>
      <w:proofErr w:type="spellStart"/>
      <w:r w:rsidRPr="007B5DB8">
        <w:rPr>
          <w:rFonts w:ascii="Helvetica" w:eastAsia="Times New Roman" w:hAnsi="Helvetica" w:cs="Helvetica"/>
          <w:color w:val="333333"/>
          <w:sz w:val="21"/>
          <w:szCs w:val="21"/>
        </w:rPr>
        <w:t>Powerpoint</w:t>
      </w:r>
      <w:proofErr w:type="spellEnd"/>
      <w:r w:rsidRPr="007B5DB8">
        <w:rPr>
          <w:rFonts w:ascii="Helvetica" w:eastAsia="Times New Roman" w:hAnsi="Helvetica" w:cs="Helvetica"/>
          <w:color w:val="333333"/>
          <w:sz w:val="21"/>
          <w:szCs w:val="21"/>
        </w:rPr>
        <w:t xml:space="preserve"> Presentation June 30, 2010).</w:t>
      </w:r>
    </w:p>
    <w:p w14:paraId="6E4713E5" w14:textId="77777777" w:rsidR="007B5DB8" w:rsidRPr="007B5DB8" w:rsidRDefault="007B5DB8" w:rsidP="007B5DB8">
      <w:pPr>
        <w:spacing w:after="150" w:line="240" w:lineRule="auto"/>
        <w:rPr>
          <w:rFonts w:ascii="Helvetica" w:eastAsia="Times New Roman" w:hAnsi="Helvetica" w:cs="Helvetica"/>
          <w:color w:val="333333"/>
          <w:sz w:val="21"/>
          <w:szCs w:val="21"/>
        </w:rPr>
      </w:pPr>
      <w:proofErr w:type="spellStart"/>
      <w:proofErr w:type="gramStart"/>
      <w:r w:rsidRPr="007B5DB8">
        <w:rPr>
          <w:rFonts w:ascii="Helvetica" w:eastAsia="Times New Roman" w:hAnsi="Helvetica" w:cs="Helvetica"/>
          <w:color w:val="333333"/>
          <w:sz w:val="21"/>
          <w:szCs w:val="21"/>
        </w:rPr>
        <w:lastRenderedPageBreak/>
        <w:t>Mey,Eliane</w:t>
      </w:r>
      <w:proofErr w:type="spellEnd"/>
      <w:proofErr w:type="gramEnd"/>
      <w:r w:rsidRPr="007B5DB8">
        <w:rPr>
          <w:rFonts w:ascii="Helvetica" w:eastAsia="Times New Roman" w:hAnsi="Helvetica" w:cs="Helvetica"/>
          <w:color w:val="333333"/>
          <w:sz w:val="21"/>
          <w:szCs w:val="21"/>
        </w:rPr>
        <w:t xml:space="preserve"> </w:t>
      </w:r>
      <w:proofErr w:type="spellStart"/>
      <w:r w:rsidRPr="007B5DB8">
        <w:rPr>
          <w:rFonts w:ascii="Helvetica" w:eastAsia="Times New Roman" w:hAnsi="Helvetica" w:cs="Helvetica"/>
          <w:color w:val="333333"/>
          <w:sz w:val="21"/>
          <w:szCs w:val="21"/>
        </w:rPr>
        <w:t>Seirao</w:t>
      </w:r>
      <w:proofErr w:type="spellEnd"/>
      <w:r w:rsidRPr="007B5DB8">
        <w:rPr>
          <w:rFonts w:ascii="Helvetica" w:eastAsia="Times New Roman" w:hAnsi="Helvetica" w:cs="Helvetica"/>
          <w:color w:val="333333"/>
          <w:sz w:val="21"/>
          <w:szCs w:val="21"/>
        </w:rPr>
        <w:t xml:space="preserve"> Alves (1998. “The item, the work, and the object of cataloging”, Cataloging &amp; Classification Quarterly, 26 (1), 45-62. doi:10.1300/J104v26n01_05</w:t>
      </w:r>
    </w:p>
    <w:p w14:paraId="37D32B5B" w14:textId="77777777" w:rsidR="007B5DB8" w:rsidRPr="007B5DB8" w:rsidRDefault="007B5DB8" w:rsidP="007B5DB8">
      <w:pPr>
        <w:spacing w:after="150" w:line="240" w:lineRule="auto"/>
        <w:rPr>
          <w:rFonts w:ascii="Helvetica" w:eastAsia="Times New Roman" w:hAnsi="Helvetica" w:cs="Helvetica"/>
          <w:color w:val="333333"/>
          <w:sz w:val="21"/>
          <w:szCs w:val="21"/>
        </w:rPr>
      </w:pPr>
      <w:r w:rsidRPr="007B5DB8">
        <w:rPr>
          <w:rFonts w:ascii="Helvetica" w:eastAsia="Times New Roman" w:hAnsi="Helvetica" w:cs="Helvetica"/>
          <w:color w:val="333333"/>
          <w:sz w:val="21"/>
          <w:szCs w:val="21"/>
        </w:rPr>
        <w:t>Taylor, Arlene G. (2004). The Organization of Information. Westport, CT: Libraries Unlimited, Inc.</w:t>
      </w:r>
    </w:p>
    <w:p w14:paraId="2E5E96E1" w14:textId="77777777" w:rsidR="007B5DB8" w:rsidRPr="007B5DB8" w:rsidRDefault="007B5DB8" w:rsidP="007B5DB8">
      <w:pPr>
        <w:spacing w:after="0" w:line="990" w:lineRule="atLeast"/>
        <w:textAlignment w:val="center"/>
        <w:rPr>
          <w:rFonts w:ascii="Times New Roman" w:eastAsia="Times New Roman" w:hAnsi="Times New Roman" w:cs="Times New Roman"/>
          <w:b/>
          <w:bCs/>
          <w:caps/>
          <w:color w:val="011E41"/>
          <w:sz w:val="36"/>
          <w:szCs w:val="36"/>
        </w:rPr>
      </w:pPr>
      <w:r w:rsidRPr="007B5DB8">
        <w:rPr>
          <w:rFonts w:ascii="Times New Roman" w:eastAsia="Times New Roman" w:hAnsi="Times New Roman" w:cs="Times New Roman"/>
          <w:b/>
          <w:bCs/>
          <w:caps/>
          <w:color w:val="011E41"/>
          <w:sz w:val="36"/>
          <w:szCs w:val="36"/>
        </w:rPr>
        <w:t>TOPIC</w:t>
      </w:r>
    </w:p>
    <w:p w14:paraId="7DCF010A" w14:textId="77777777" w:rsidR="007B5DB8" w:rsidRPr="007B5DB8" w:rsidRDefault="007B5DB8" w:rsidP="007B5DB8">
      <w:pPr>
        <w:spacing w:after="0" w:line="240" w:lineRule="auto"/>
        <w:rPr>
          <w:rFonts w:ascii="Times New Roman" w:eastAsia="Times New Roman" w:hAnsi="Times New Roman" w:cs="Times New Roman"/>
          <w:sz w:val="24"/>
          <w:szCs w:val="24"/>
        </w:rPr>
      </w:pPr>
      <w:hyperlink r:id="rId8" w:history="1">
        <w:r w:rsidRPr="007B5DB8">
          <w:rPr>
            <w:rFonts w:ascii="Times New Roman" w:eastAsia="Times New Roman" w:hAnsi="Times New Roman" w:cs="Times New Roman"/>
            <w:color w:val="006FBF"/>
            <w:sz w:val="24"/>
            <w:szCs w:val="24"/>
            <w:u w:val="single"/>
          </w:rPr>
          <w:t>Print</w:t>
        </w:r>
      </w:hyperlink>
    </w:p>
    <w:p w14:paraId="0967CB88" w14:textId="77777777" w:rsidR="007B5DB8" w:rsidRPr="007B5DB8" w:rsidRDefault="007B5DB8" w:rsidP="007B5DB8">
      <w:pPr>
        <w:spacing w:before="100" w:beforeAutospacing="1" w:after="100" w:afterAutospacing="1" w:line="240" w:lineRule="auto"/>
        <w:outlineLvl w:val="0"/>
        <w:rPr>
          <w:rFonts w:ascii="inherit" w:eastAsia="Times New Roman" w:hAnsi="inherit" w:cs="Times New Roman"/>
          <w:kern w:val="36"/>
          <w:sz w:val="48"/>
          <w:szCs w:val="48"/>
        </w:rPr>
      </w:pPr>
      <w:r w:rsidRPr="007B5DB8">
        <w:rPr>
          <w:rFonts w:ascii="inherit" w:eastAsia="Times New Roman" w:hAnsi="inherit" w:cs="Times New Roman"/>
          <w:kern w:val="36"/>
          <w:sz w:val="48"/>
          <w:szCs w:val="48"/>
        </w:rPr>
        <w:t>Cyber Kill Chain</w:t>
      </w:r>
    </w:p>
    <w:p w14:paraId="6DF7CD49"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Developed by Lockheed Martin, the Cyber Kill Chain provides a framework for the life cycle of a cyberattack. This framework gives a different perspective to security analysts to help understand the techniques and processes of the attacker. Below is a brief description of the different phases of the Cyber Kill Chain (Sager, 2014):</w:t>
      </w:r>
    </w:p>
    <w:p w14:paraId="568B6227" w14:textId="77777777" w:rsidR="007B5DB8" w:rsidRPr="007B5DB8" w:rsidRDefault="007B5DB8" w:rsidP="007B5DB8">
      <w:pPr>
        <w:spacing w:after="0"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noProof/>
          <w:sz w:val="24"/>
          <w:szCs w:val="24"/>
        </w:rPr>
        <w:lastRenderedPageBreak/>
        <w:drawing>
          <wp:inline distT="0" distB="0" distL="0" distR="0" wp14:anchorId="40106186" wp14:editId="4F7A37A8">
            <wp:extent cx="5048250" cy="8191500"/>
            <wp:effectExtent l="0" t="0" r="0" b="0"/>
            <wp:docPr id="2" name="Picture 2" descr="Title: Cyber Kill Chain - Description: 'Waterfall' graphic describing the cyber kill chain, with top box on reconnaissance and 'falling' to weaponization, delivery, exploitation, installation, command and control, and action on objectiv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Cyber Kill Chain - Description: 'Waterfall' graphic describing the cyber kill chain, with top box on reconnaissance and 'falling' to weaponization, delivery, exploitation, installation, command and control, and action on objectives.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0" cy="8191500"/>
                    </a:xfrm>
                    <a:prstGeom prst="rect">
                      <a:avLst/>
                    </a:prstGeom>
                    <a:noFill/>
                    <a:ln>
                      <a:noFill/>
                    </a:ln>
                  </pic:spPr>
                </pic:pic>
              </a:graphicData>
            </a:graphic>
          </wp:inline>
        </w:drawing>
      </w:r>
    </w:p>
    <w:p w14:paraId="3C415D17"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lastRenderedPageBreak/>
        <w:t xml:space="preserve">It is important to note that the Cyber Kill Chain focuses heavily on intrusion techniques. The first six steps of the model focus on the intrusion aspects of the attack, while the last step focuses on the purpose, which can often last for months while attackers slowly meet their objectives. It is important for cybersecurity analysts to understand every step of the Cyber Kill Chain </w:t>
      </w:r>
      <w:proofErr w:type="gramStart"/>
      <w:r w:rsidRPr="007B5DB8">
        <w:rPr>
          <w:rFonts w:ascii="Times New Roman" w:eastAsia="Times New Roman" w:hAnsi="Times New Roman" w:cs="Times New Roman"/>
          <w:sz w:val="24"/>
          <w:szCs w:val="24"/>
        </w:rPr>
        <w:t>in order to</w:t>
      </w:r>
      <w:proofErr w:type="gramEnd"/>
      <w:r w:rsidRPr="007B5DB8">
        <w:rPr>
          <w:rFonts w:ascii="Times New Roman" w:eastAsia="Times New Roman" w:hAnsi="Times New Roman" w:cs="Times New Roman"/>
          <w:sz w:val="24"/>
          <w:szCs w:val="24"/>
        </w:rPr>
        <w:t xml:space="preserve"> better predict, intercept, and learn to defend against attackers.</w:t>
      </w:r>
    </w:p>
    <w:p w14:paraId="329D1CEA" w14:textId="77777777" w:rsidR="007B5DB8" w:rsidRPr="007B5DB8" w:rsidRDefault="007B5DB8" w:rsidP="007B5DB8">
      <w:pPr>
        <w:spacing w:before="100" w:beforeAutospacing="1" w:after="100" w:afterAutospacing="1" w:line="240" w:lineRule="auto"/>
        <w:outlineLvl w:val="1"/>
        <w:rPr>
          <w:rFonts w:ascii="inherit" w:eastAsia="Times New Roman" w:hAnsi="inherit" w:cs="Times New Roman"/>
          <w:sz w:val="36"/>
          <w:szCs w:val="36"/>
        </w:rPr>
      </w:pPr>
      <w:r w:rsidRPr="007B5DB8">
        <w:rPr>
          <w:rFonts w:ascii="inherit" w:eastAsia="Times New Roman" w:hAnsi="inherit" w:cs="Times New Roman"/>
          <w:sz w:val="36"/>
          <w:szCs w:val="36"/>
        </w:rPr>
        <w:t>Reference</w:t>
      </w:r>
    </w:p>
    <w:p w14:paraId="506B0384"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Sager, T. (2014, July). Killing advanced threats in their tracks: An intelligent approach to attack prevention. Retrieved from www.sans.org%2Freading-room%2Fwhitepapers%2Fanalyst%2Fkilling-advanced-threats-tracks-intelligent-approach-attack-prevention-35302&amp;usg=AFQjCNG4wvxSNqdZWMBZuG_yE66ySSHZtA&amp;bvm=bv.145822982,d.eWE</w:t>
      </w:r>
    </w:p>
    <w:p w14:paraId="3472B5DF" w14:textId="77777777" w:rsidR="007B5DB8" w:rsidRPr="007B5DB8" w:rsidRDefault="007B5DB8" w:rsidP="007B5DB8">
      <w:pPr>
        <w:shd w:val="clear" w:color="auto" w:fill="F6E1FA"/>
        <w:spacing w:after="0" w:line="240" w:lineRule="auto"/>
        <w:outlineLvl w:val="2"/>
        <w:rPr>
          <w:rFonts w:ascii="inherit" w:eastAsia="Times New Roman" w:hAnsi="inherit" w:cs="Times New Roman"/>
          <w:b/>
          <w:bCs/>
          <w:color w:val="7E358C"/>
          <w:sz w:val="27"/>
          <w:szCs w:val="27"/>
        </w:rPr>
      </w:pPr>
      <w:r w:rsidRPr="007B5DB8">
        <w:rPr>
          <w:rFonts w:ascii="inherit" w:eastAsia="Times New Roman" w:hAnsi="inherit" w:cs="Times New Roman"/>
          <w:b/>
          <w:bCs/>
          <w:color w:val="7E358C"/>
          <w:sz w:val="27"/>
          <w:szCs w:val="27"/>
        </w:rPr>
        <w:t>Resources</w:t>
      </w:r>
    </w:p>
    <w:p w14:paraId="2FB7FA77" w14:textId="77777777" w:rsidR="007B5DB8" w:rsidRPr="007B5DB8" w:rsidRDefault="007B5DB8" w:rsidP="007B5DB8">
      <w:pPr>
        <w:numPr>
          <w:ilvl w:val="0"/>
          <w:numId w:val="2"/>
        </w:numPr>
        <w:shd w:val="clear" w:color="auto" w:fill="FFFFFF"/>
        <w:spacing w:before="100" w:beforeAutospacing="1" w:after="100" w:afterAutospacing="1" w:line="240" w:lineRule="auto"/>
        <w:ind w:left="0"/>
        <w:rPr>
          <w:rFonts w:ascii="Times New Roman" w:eastAsia="Times New Roman" w:hAnsi="Times New Roman" w:cs="Times New Roman"/>
          <w:sz w:val="24"/>
          <w:szCs w:val="24"/>
        </w:rPr>
      </w:pPr>
      <w:hyperlink r:id="rId10" w:tgtFrame="_blank" w:history="1">
        <w:r w:rsidRPr="007B5DB8">
          <w:rPr>
            <w:rFonts w:ascii="Times New Roman" w:eastAsia="Times New Roman" w:hAnsi="Times New Roman" w:cs="Times New Roman"/>
            <w:color w:val="006FBF"/>
            <w:sz w:val="24"/>
            <w:szCs w:val="24"/>
            <w:u w:val="single"/>
          </w:rPr>
          <w:t>Intrusion Detection Using Security Onion Based on Kill Chain Approach</w:t>
        </w:r>
      </w:hyperlink>
    </w:p>
    <w:p w14:paraId="410E91C0" w14:textId="77777777" w:rsidR="00304B94" w:rsidRDefault="00304B94" w:rsidP="00304B94">
      <w:pPr>
        <w:shd w:val="clear" w:color="auto" w:fill="FFFFFF"/>
        <w:spacing w:before="100" w:beforeAutospacing="1" w:after="100" w:afterAutospacing="1" w:line="240" w:lineRule="auto"/>
        <w:outlineLvl w:val="0"/>
        <w:rPr>
          <w:rFonts w:ascii="Lucida Sans Unicode" w:eastAsia="Times New Roman" w:hAnsi="Lucida Sans Unicode" w:cs="Lucida Sans Unicode"/>
          <w:color w:val="565A5C"/>
          <w:spacing w:val="3"/>
          <w:kern w:val="36"/>
          <w:sz w:val="48"/>
          <w:szCs w:val="48"/>
        </w:rPr>
      </w:pPr>
    </w:p>
    <w:p w14:paraId="118CDC4B" w14:textId="58EE17A9" w:rsidR="00304B94" w:rsidRPr="00304B94" w:rsidRDefault="00304B94" w:rsidP="00304B94">
      <w:pPr>
        <w:shd w:val="clear" w:color="auto" w:fill="FFFFFF"/>
        <w:spacing w:before="100" w:beforeAutospacing="1" w:after="100" w:afterAutospacing="1" w:line="240" w:lineRule="auto"/>
        <w:outlineLvl w:val="0"/>
        <w:rPr>
          <w:rFonts w:ascii="Lucida Sans Unicode" w:eastAsia="Times New Roman" w:hAnsi="Lucida Sans Unicode" w:cs="Lucida Sans Unicode"/>
          <w:color w:val="565A5C"/>
          <w:spacing w:val="3"/>
          <w:kern w:val="36"/>
          <w:sz w:val="48"/>
          <w:szCs w:val="48"/>
        </w:rPr>
      </w:pPr>
      <w:r w:rsidRPr="00304B94">
        <w:rPr>
          <w:rFonts w:ascii="Lucida Sans Unicode" w:eastAsia="Times New Roman" w:hAnsi="Lucida Sans Unicode" w:cs="Lucida Sans Unicode"/>
          <w:color w:val="565A5C"/>
          <w:spacing w:val="3"/>
          <w:kern w:val="36"/>
          <w:sz w:val="48"/>
          <w:szCs w:val="48"/>
        </w:rPr>
        <w:t>Authorized Access Points</w:t>
      </w:r>
    </w:p>
    <w:p w14:paraId="63EBEA0F"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Authorized access points are wireless access points that are granted permission to be on the network by the network administrator. These devices are normally small and easy to install. A network administrator should always know the access points connected to the network. It is essential to be able to physically locate the access points. If there is an access point on the network that the network administrator did not authorize, then it is a rogue access point.</w:t>
      </w:r>
    </w:p>
    <w:p w14:paraId="6C7F1FDB"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Rogue access points can be set up by malicious actors or by workers within an organization. Rogue access points are a very common source of attack, and organizations need to ensure that they have protections in place.</w:t>
      </w:r>
    </w:p>
    <w:p w14:paraId="63F60FAA"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Organizations need to be able to identify rogue access points. Most often, rogue access points can be identified by cross-referencing the service set identifier (SSID) against a preconfigured list of approved access points. This is because rogue access points frequently broadcast SSIDs that are not approved by the organization.</w:t>
      </w:r>
    </w:p>
    <w:p w14:paraId="71C3D761"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t xml:space="preserve">In some cases, access points are set up directly between two client devices. These ad hoc access points </w:t>
      </w:r>
      <w:proofErr w:type="gramStart"/>
      <w:r w:rsidRPr="00304B94">
        <w:rPr>
          <w:rFonts w:ascii="Times New Roman" w:eastAsia="Times New Roman" w:hAnsi="Times New Roman" w:cs="Times New Roman"/>
          <w:sz w:val="24"/>
          <w:szCs w:val="24"/>
        </w:rPr>
        <w:t>are considered to be</w:t>
      </w:r>
      <w:proofErr w:type="gramEnd"/>
      <w:r w:rsidRPr="00304B94">
        <w:rPr>
          <w:rFonts w:ascii="Times New Roman" w:eastAsia="Times New Roman" w:hAnsi="Times New Roman" w:cs="Times New Roman"/>
          <w:sz w:val="24"/>
          <w:szCs w:val="24"/>
        </w:rPr>
        <w:t xml:space="preserve"> rogue by default, as they provide a vulnerable means for compromise because they are not directly managed by the organization's security team. Technology to assist organizations in determining authorized access points and squelching unauthorized access points is readily available.</w:t>
      </w:r>
    </w:p>
    <w:p w14:paraId="012A904A" w14:textId="77777777" w:rsidR="00304B94" w:rsidRPr="00304B94" w:rsidRDefault="00304B94" w:rsidP="00304B94">
      <w:pPr>
        <w:spacing w:before="100" w:beforeAutospacing="1" w:after="100" w:afterAutospacing="1" w:line="240" w:lineRule="auto"/>
        <w:rPr>
          <w:rFonts w:ascii="Times New Roman" w:eastAsia="Times New Roman" w:hAnsi="Times New Roman" w:cs="Times New Roman"/>
          <w:sz w:val="24"/>
          <w:szCs w:val="24"/>
        </w:rPr>
      </w:pPr>
      <w:r w:rsidRPr="00304B94">
        <w:rPr>
          <w:rFonts w:ascii="Times New Roman" w:eastAsia="Times New Roman" w:hAnsi="Times New Roman" w:cs="Times New Roman"/>
          <w:sz w:val="24"/>
          <w:szCs w:val="24"/>
        </w:rPr>
        <w:lastRenderedPageBreak/>
        <w:t xml:space="preserve">Authorized access points should have MAC addresses that are recognized by the organization's Address Resolution Protocol (ARP) tables. In addition, there should be policies and classifications in place to identify </w:t>
      </w:r>
      <w:proofErr w:type="gramStart"/>
      <w:r w:rsidRPr="00304B94">
        <w:rPr>
          <w:rFonts w:ascii="Times New Roman" w:eastAsia="Times New Roman" w:hAnsi="Times New Roman" w:cs="Times New Roman"/>
          <w:sz w:val="24"/>
          <w:szCs w:val="24"/>
        </w:rPr>
        <w:t>all of</w:t>
      </w:r>
      <w:proofErr w:type="gramEnd"/>
      <w:r w:rsidRPr="00304B94">
        <w:rPr>
          <w:rFonts w:ascii="Times New Roman" w:eastAsia="Times New Roman" w:hAnsi="Times New Roman" w:cs="Times New Roman"/>
          <w:sz w:val="24"/>
          <w:szCs w:val="24"/>
        </w:rPr>
        <w:t xml:space="preserve"> the authorized and rogue access points. Authorized access points should also implement strong encryption, such as WPA2.</w:t>
      </w:r>
    </w:p>
    <w:p w14:paraId="19814B24" w14:textId="557B3B3D" w:rsidR="00156698" w:rsidRPr="00156698" w:rsidRDefault="00156698" w:rsidP="00156698">
      <w:pPr>
        <w:spacing w:before="300" w:after="150" w:line="240" w:lineRule="auto"/>
        <w:outlineLvl w:val="0"/>
        <w:rPr>
          <w:rFonts w:ascii="Helvetica" w:eastAsia="Times New Roman" w:hAnsi="Helvetica" w:cs="Helvetica"/>
          <w:color w:val="333333"/>
          <w:kern w:val="36"/>
          <w:sz w:val="54"/>
          <w:szCs w:val="54"/>
        </w:rPr>
      </w:pPr>
      <w:r w:rsidRPr="00156698">
        <w:rPr>
          <w:rFonts w:ascii="Helvetica" w:eastAsia="Times New Roman" w:hAnsi="Helvetica" w:cs="Helvetica"/>
          <w:color w:val="333333"/>
          <w:kern w:val="36"/>
          <w:sz w:val="54"/>
          <w:szCs w:val="54"/>
        </w:rPr>
        <w:t>What Are Access Points?</w:t>
      </w:r>
    </w:p>
    <w:p w14:paraId="102C6D96"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Access points are integral to the cataloging process and for retrieving information. In adhering to an established set of cataloging standards, libraries use access points to categorize and access information and works within their collection. Although any keyword search found within the description of a record may be considered an access point, there is an established form of using consistent, authorized settings to provide better search results. Access points are “doorways to the information” (</w:t>
      </w:r>
      <w:proofErr w:type="spellStart"/>
      <w:r w:rsidRPr="00156698">
        <w:rPr>
          <w:rFonts w:ascii="Helvetica" w:eastAsia="Times New Roman" w:hAnsi="Helvetica" w:cs="Helvetica"/>
          <w:color w:val="333333"/>
          <w:sz w:val="21"/>
          <w:szCs w:val="21"/>
        </w:rPr>
        <w:t>Maleszewski</w:t>
      </w:r>
      <w:proofErr w:type="spellEnd"/>
      <w:r w:rsidRPr="00156698">
        <w:rPr>
          <w:rFonts w:ascii="Helvetica" w:eastAsia="Times New Roman" w:hAnsi="Helvetica" w:cs="Helvetica"/>
          <w:color w:val="333333"/>
          <w:sz w:val="21"/>
          <w:szCs w:val="21"/>
        </w:rPr>
        <w:t>, 2010), unique identifiers that can lead to the resource.</w:t>
      </w:r>
    </w:p>
    <w:p w14:paraId="1374CE3D"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According to the Library of Congress, a formal definition of “access point” is:</w:t>
      </w:r>
    </w:p>
    <w:p w14:paraId="0318BD3A"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A name, term, code, etc., under which a bibliographic record may be searched and identified in a computer system or card catalog. In cataloging, access points are the names, subject headings, ISBNs, etc., which lead to the bibliographic record. (http://www.itsmarc.com/crs/auth1503.htm)</w:t>
      </w:r>
    </w:p>
    <w:p w14:paraId="671FFCFC"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Access points are searchable fields. Besides 245 and 246, most of the access points are in:</w:t>
      </w:r>
    </w:p>
    <w:p w14:paraId="5139421D"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1XX (main entry)</w:t>
      </w:r>
    </w:p>
    <w:p w14:paraId="1CAA38F7"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4XX (series)</w:t>
      </w:r>
    </w:p>
    <w:p w14:paraId="49581AD2"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6XX (subject headings)</w:t>
      </w:r>
    </w:p>
    <w:p w14:paraId="5409C1E1"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7XX (added entries)</w:t>
      </w:r>
    </w:p>
    <w:p w14:paraId="155FBB8B"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8XX (series traced another way)</w:t>
      </w:r>
    </w:p>
    <w:p w14:paraId="14AA7F11"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(www.lcls.org)</w:t>
      </w:r>
    </w:p>
    <w:p w14:paraId="6BD97229"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These fields "require authority control</w:t>
      </w:r>
      <w:proofErr w:type="gramStart"/>
      <w:r w:rsidRPr="00156698">
        <w:rPr>
          <w:rFonts w:ascii="Helvetica" w:eastAsia="Times New Roman" w:hAnsi="Helvetica" w:cs="Helvetica"/>
          <w:color w:val="333333"/>
          <w:sz w:val="21"/>
          <w:szCs w:val="21"/>
        </w:rPr>
        <w:t>….As</w:t>
      </w:r>
      <w:proofErr w:type="gramEnd"/>
      <w:r w:rsidRPr="00156698">
        <w:rPr>
          <w:rFonts w:ascii="Helvetica" w:eastAsia="Times New Roman" w:hAnsi="Helvetica" w:cs="Helvetica"/>
          <w:color w:val="333333"/>
          <w:sz w:val="21"/>
          <w:szCs w:val="21"/>
        </w:rPr>
        <w:t xml:space="preserve"> long as authorized headings are used, all the books on one subject, or by a particular author, or in a series, should be in the same place in the online catalog or card catalog" (www.lcls.org). Standardized numbers such as ISBN or ISSN numbers (which are searchable) are also considered access points.</w:t>
      </w:r>
    </w:p>
    <w:p w14:paraId="0FFD7793"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 xml:space="preserve">I found two relevant articles on access points from Cataloging &amp; Classification Quarterly: "Introduction to the Conference" by Mauro Guerrini and "The Item, the Work, and the Object of Cataloging" by </w:t>
      </w:r>
      <w:proofErr w:type="spellStart"/>
      <w:r w:rsidRPr="00156698">
        <w:rPr>
          <w:rFonts w:ascii="Helvetica" w:eastAsia="Times New Roman" w:hAnsi="Helvetica" w:cs="Helvetica"/>
          <w:color w:val="333333"/>
          <w:sz w:val="21"/>
          <w:szCs w:val="21"/>
        </w:rPr>
        <w:t>Eliane</w:t>
      </w:r>
      <w:proofErr w:type="spellEnd"/>
      <w:r w:rsidRPr="00156698">
        <w:rPr>
          <w:rFonts w:ascii="Helvetica" w:eastAsia="Times New Roman" w:hAnsi="Helvetica" w:cs="Helvetica"/>
          <w:color w:val="333333"/>
          <w:sz w:val="21"/>
          <w:szCs w:val="21"/>
        </w:rPr>
        <w:t xml:space="preserve"> </w:t>
      </w:r>
      <w:proofErr w:type="spellStart"/>
      <w:r w:rsidRPr="00156698">
        <w:rPr>
          <w:rFonts w:ascii="Helvetica" w:eastAsia="Times New Roman" w:hAnsi="Helvetica" w:cs="Helvetica"/>
          <w:color w:val="333333"/>
          <w:sz w:val="21"/>
          <w:szCs w:val="21"/>
        </w:rPr>
        <w:t>Seirao</w:t>
      </w:r>
      <w:proofErr w:type="spellEnd"/>
      <w:r w:rsidRPr="00156698">
        <w:rPr>
          <w:rFonts w:ascii="Helvetica" w:eastAsia="Times New Roman" w:hAnsi="Helvetica" w:cs="Helvetica"/>
          <w:color w:val="333333"/>
          <w:sz w:val="21"/>
          <w:szCs w:val="21"/>
        </w:rPr>
        <w:t xml:space="preserve"> Alves </w:t>
      </w:r>
      <w:proofErr w:type="spellStart"/>
      <w:r w:rsidRPr="00156698">
        <w:rPr>
          <w:rFonts w:ascii="Helvetica" w:eastAsia="Times New Roman" w:hAnsi="Helvetica" w:cs="Helvetica"/>
          <w:color w:val="333333"/>
          <w:sz w:val="21"/>
          <w:szCs w:val="21"/>
        </w:rPr>
        <w:t>Mey</w:t>
      </w:r>
      <w:proofErr w:type="spellEnd"/>
      <w:r w:rsidRPr="00156698">
        <w:rPr>
          <w:rFonts w:ascii="Helvetica" w:eastAsia="Times New Roman" w:hAnsi="Helvetica" w:cs="Helvetica"/>
          <w:color w:val="333333"/>
          <w:sz w:val="21"/>
          <w:szCs w:val="21"/>
        </w:rPr>
        <w:t>. Guerrini explains the conference's need to reaffirm a standard for "effective cataloguing (which) requires controlling the consistency of the form of access points to information so that users can find, identify, select and obtain the information available in a bibliography or catalogue....Without authority control, the linking and syndetic structures of the catalogue have feet of clay" (Guerrini, 2004, p.6).</w:t>
      </w:r>
    </w:p>
    <w:p w14:paraId="09E0EC71" w14:textId="77777777" w:rsidR="00156698" w:rsidRPr="00156698" w:rsidRDefault="00156698" w:rsidP="00156698">
      <w:pPr>
        <w:spacing w:after="150" w:line="240" w:lineRule="auto"/>
        <w:rPr>
          <w:rFonts w:ascii="Helvetica" w:eastAsia="Times New Roman" w:hAnsi="Helvetica" w:cs="Helvetica"/>
          <w:color w:val="333333"/>
          <w:sz w:val="21"/>
          <w:szCs w:val="21"/>
        </w:rPr>
      </w:pPr>
      <w:proofErr w:type="spellStart"/>
      <w:r w:rsidRPr="00156698">
        <w:rPr>
          <w:rFonts w:ascii="Helvetica" w:eastAsia="Times New Roman" w:hAnsi="Helvetica" w:cs="Helvetica"/>
          <w:color w:val="333333"/>
          <w:sz w:val="21"/>
          <w:szCs w:val="21"/>
        </w:rPr>
        <w:t>Seirao</w:t>
      </w:r>
      <w:proofErr w:type="spellEnd"/>
      <w:r w:rsidRPr="00156698">
        <w:rPr>
          <w:rFonts w:ascii="Helvetica" w:eastAsia="Times New Roman" w:hAnsi="Helvetica" w:cs="Helvetica"/>
          <w:color w:val="333333"/>
          <w:sz w:val="21"/>
          <w:szCs w:val="21"/>
        </w:rPr>
        <w:t xml:space="preserve"> Alves </w:t>
      </w:r>
      <w:proofErr w:type="spellStart"/>
      <w:r w:rsidRPr="00156698">
        <w:rPr>
          <w:rFonts w:ascii="Helvetica" w:eastAsia="Times New Roman" w:hAnsi="Helvetica" w:cs="Helvetica"/>
          <w:color w:val="333333"/>
          <w:sz w:val="21"/>
          <w:szCs w:val="21"/>
        </w:rPr>
        <w:t>Mey's</w:t>
      </w:r>
      <w:proofErr w:type="spellEnd"/>
      <w:r w:rsidRPr="00156698">
        <w:rPr>
          <w:rFonts w:ascii="Helvetica" w:eastAsia="Times New Roman" w:hAnsi="Helvetica" w:cs="Helvetica"/>
          <w:color w:val="333333"/>
          <w:sz w:val="21"/>
          <w:szCs w:val="21"/>
        </w:rPr>
        <w:t xml:space="preserve"> article agrees with Guerrini's, yet takes a more detailed approach, explaining its origins, meaning, and importance. Her article contends that the services and products of library science "constitute a process of communication, which intends to establish a connection between knowledge records and users” (</w:t>
      </w:r>
      <w:proofErr w:type="spellStart"/>
      <w:r w:rsidRPr="00156698">
        <w:rPr>
          <w:rFonts w:ascii="Helvetica" w:eastAsia="Times New Roman" w:hAnsi="Helvetica" w:cs="Helvetica"/>
          <w:color w:val="333333"/>
          <w:sz w:val="21"/>
          <w:szCs w:val="21"/>
        </w:rPr>
        <w:t>Mey</w:t>
      </w:r>
      <w:proofErr w:type="spellEnd"/>
      <w:r w:rsidRPr="00156698">
        <w:rPr>
          <w:rFonts w:ascii="Helvetica" w:eastAsia="Times New Roman" w:hAnsi="Helvetica" w:cs="Helvetica"/>
          <w:color w:val="333333"/>
          <w:sz w:val="21"/>
          <w:szCs w:val="21"/>
        </w:rPr>
        <w:t xml:space="preserve">, 1998, p. 47). </w:t>
      </w:r>
      <w:proofErr w:type="spellStart"/>
      <w:r w:rsidRPr="00156698">
        <w:rPr>
          <w:rFonts w:ascii="Helvetica" w:eastAsia="Times New Roman" w:hAnsi="Helvetica" w:cs="Helvetica"/>
          <w:color w:val="333333"/>
          <w:sz w:val="21"/>
          <w:szCs w:val="21"/>
        </w:rPr>
        <w:t>Mey</w:t>
      </w:r>
      <w:proofErr w:type="spellEnd"/>
      <w:r w:rsidRPr="00156698">
        <w:rPr>
          <w:rFonts w:ascii="Helvetica" w:eastAsia="Times New Roman" w:hAnsi="Helvetica" w:cs="Helvetica"/>
          <w:color w:val="333333"/>
          <w:sz w:val="21"/>
          <w:szCs w:val="21"/>
        </w:rPr>
        <w:t xml:space="preserve"> describes access points as "names, terms, expressions, letters, and/or numbers which represent some pre-established characteristics of works, in a codified and uniform manner…it means that we don't assign access points to all bibliographic characteristics of an item, but only to responsibilities, titles, and subject of the work or item. These access points are codes because they represent these characteristics; they "are for them" (</w:t>
      </w:r>
      <w:proofErr w:type="spellStart"/>
      <w:r w:rsidRPr="00156698">
        <w:rPr>
          <w:rFonts w:ascii="Helvetica" w:eastAsia="Times New Roman" w:hAnsi="Helvetica" w:cs="Helvetica"/>
          <w:color w:val="333333"/>
          <w:sz w:val="21"/>
          <w:szCs w:val="21"/>
        </w:rPr>
        <w:t>Mey</w:t>
      </w:r>
      <w:proofErr w:type="spellEnd"/>
      <w:r w:rsidRPr="00156698">
        <w:rPr>
          <w:rFonts w:ascii="Helvetica" w:eastAsia="Times New Roman" w:hAnsi="Helvetica" w:cs="Helvetica"/>
          <w:color w:val="333333"/>
          <w:sz w:val="21"/>
          <w:szCs w:val="21"/>
        </w:rPr>
        <w:t xml:space="preserve">, </w:t>
      </w:r>
      <w:r w:rsidRPr="00156698">
        <w:rPr>
          <w:rFonts w:ascii="Helvetica" w:eastAsia="Times New Roman" w:hAnsi="Helvetica" w:cs="Helvetica"/>
          <w:color w:val="333333"/>
          <w:sz w:val="21"/>
          <w:szCs w:val="21"/>
        </w:rPr>
        <w:lastRenderedPageBreak/>
        <w:t>1998, p. 51). Thus, it is evident that consistency in the creation of access points in cataloguing is vital for the successful retrieval of information.</w:t>
      </w:r>
    </w:p>
    <w:p w14:paraId="14DB5AB5" w14:textId="77777777" w:rsidR="00156698" w:rsidRPr="00156698" w:rsidRDefault="00156698" w:rsidP="00156698">
      <w:pPr>
        <w:spacing w:before="300" w:after="150" w:line="240" w:lineRule="auto"/>
        <w:outlineLvl w:val="1"/>
        <w:rPr>
          <w:rFonts w:ascii="Helvetica" w:eastAsia="Times New Roman" w:hAnsi="Helvetica" w:cs="Helvetica"/>
          <w:color w:val="333333"/>
          <w:sz w:val="45"/>
          <w:szCs w:val="45"/>
        </w:rPr>
      </w:pPr>
      <w:r w:rsidRPr="00156698">
        <w:rPr>
          <w:rFonts w:ascii="Helvetica" w:eastAsia="Times New Roman" w:hAnsi="Helvetica" w:cs="Helvetica"/>
          <w:color w:val="333333"/>
          <w:sz w:val="45"/>
          <w:szCs w:val="45"/>
        </w:rPr>
        <w:t>References</w:t>
      </w:r>
    </w:p>
    <w:p w14:paraId="3E339950"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 xml:space="preserve">Guerrini, Mauro. (2004). “Introduction to the conference”, Cataloging &amp; Classification Quarterly, 38 (3) 5-9. </w:t>
      </w:r>
      <w:proofErr w:type="spellStart"/>
      <w:r w:rsidRPr="00156698">
        <w:rPr>
          <w:rFonts w:ascii="Helvetica" w:eastAsia="Times New Roman" w:hAnsi="Helvetica" w:cs="Helvetica"/>
          <w:color w:val="333333"/>
          <w:sz w:val="21"/>
          <w:szCs w:val="21"/>
        </w:rPr>
        <w:t>Doi</w:t>
      </w:r>
      <w:proofErr w:type="spellEnd"/>
      <w:r w:rsidRPr="00156698">
        <w:rPr>
          <w:rFonts w:ascii="Helvetica" w:eastAsia="Times New Roman" w:hAnsi="Helvetica" w:cs="Helvetica"/>
          <w:color w:val="333333"/>
          <w:sz w:val="21"/>
          <w:szCs w:val="21"/>
        </w:rPr>
        <w:t>: 10.1300/J104v38n03_02</w:t>
      </w:r>
    </w:p>
    <w:p w14:paraId="5C8D5772"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Lewis and Clark Library System. (2000) “Access Points”, Retrieved 6/21/2010 from www.lcls.org/wp-content/uploads/2009/06/pdf/AccessPoints.pdf.</w:t>
      </w:r>
    </w:p>
    <w:p w14:paraId="356091E6"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Library of Congress Classification Outline (1990), Sixth Edition, “Access Points”, Itsmarc.com. Retrieved 6/21/2010 from (http://www.itsmarc.com/crs/auth1503.htm).</w:t>
      </w:r>
    </w:p>
    <w:p w14:paraId="54C9E418" w14:textId="77777777" w:rsidR="00156698" w:rsidRPr="00156698" w:rsidRDefault="00156698" w:rsidP="00156698">
      <w:pPr>
        <w:spacing w:after="150" w:line="240" w:lineRule="auto"/>
        <w:rPr>
          <w:rFonts w:ascii="Helvetica" w:eastAsia="Times New Roman" w:hAnsi="Helvetica" w:cs="Helvetica"/>
          <w:color w:val="333333"/>
          <w:sz w:val="21"/>
          <w:szCs w:val="21"/>
        </w:rPr>
      </w:pPr>
      <w:proofErr w:type="spellStart"/>
      <w:r w:rsidRPr="00156698">
        <w:rPr>
          <w:rFonts w:ascii="Helvetica" w:eastAsia="Times New Roman" w:hAnsi="Helvetica" w:cs="Helvetica"/>
          <w:color w:val="333333"/>
          <w:sz w:val="21"/>
          <w:szCs w:val="21"/>
        </w:rPr>
        <w:t>Maleszewski</w:t>
      </w:r>
      <w:proofErr w:type="spellEnd"/>
      <w:r w:rsidRPr="00156698">
        <w:rPr>
          <w:rFonts w:ascii="Helvetica" w:eastAsia="Times New Roman" w:hAnsi="Helvetica" w:cs="Helvetica"/>
          <w:color w:val="333333"/>
          <w:sz w:val="21"/>
          <w:szCs w:val="21"/>
        </w:rPr>
        <w:t>, Ellen (2010). “The Knowledge of Organization”. (</w:t>
      </w:r>
      <w:proofErr w:type="spellStart"/>
      <w:r w:rsidRPr="00156698">
        <w:rPr>
          <w:rFonts w:ascii="Helvetica" w:eastAsia="Times New Roman" w:hAnsi="Helvetica" w:cs="Helvetica"/>
          <w:color w:val="333333"/>
          <w:sz w:val="21"/>
          <w:szCs w:val="21"/>
        </w:rPr>
        <w:t>Powerpoint</w:t>
      </w:r>
      <w:proofErr w:type="spellEnd"/>
      <w:r w:rsidRPr="00156698">
        <w:rPr>
          <w:rFonts w:ascii="Helvetica" w:eastAsia="Times New Roman" w:hAnsi="Helvetica" w:cs="Helvetica"/>
          <w:color w:val="333333"/>
          <w:sz w:val="21"/>
          <w:szCs w:val="21"/>
        </w:rPr>
        <w:t xml:space="preserve"> Presentation June 30, 2010).</w:t>
      </w:r>
    </w:p>
    <w:p w14:paraId="604047C1" w14:textId="77777777" w:rsidR="00156698" w:rsidRPr="00156698" w:rsidRDefault="00156698" w:rsidP="00156698">
      <w:pPr>
        <w:spacing w:after="150" w:line="240" w:lineRule="auto"/>
        <w:rPr>
          <w:rFonts w:ascii="Helvetica" w:eastAsia="Times New Roman" w:hAnsi="Helvetica" w:cs="Helvetica"/>
          <w:color w:val="333333"/>
          <w:sz w:val="21"/>
          <w:szCs w:val="21"/>
        </w:rPr>
      </w:pPr>
      <w:proofErr w:type="spellStart"/>
      <w:proofErr w:type="gramStart"/>
      <w:r w:rsidRPr="00156698">
        <w:rPr>
          <w:rFonts w:ascii="Helvetica" w:eastAsia="Times New Roman" w:hAnsi="Helvetica" w:cs="Helvetica"/>
          <w:color w:val="333333"/>
          <w:sz w:val="21"/>
          <w:szCs w:val="21"/>
        </w:rPr>
        <w:t>Mey,Eliane</w:t>
      </w:r>
      <w:proofErr w:type="spellEnd"/>
      <w:proofErr w:type="gramEnd"/>
      <w:r w:rsidRPr="00156698">
        <w:rPr>
          <w:rFonts w:ascii="Helvetica" w:eastAsia="Times New Roman" w:hAnsi="Helvetica" w:cs="Helvetica"/>
          <w:color w:val="333333"/>
          <w:sz w:val="21"/>
          <w:szCs w:val="21"/>
        </w:rPr>
        <w:t xml:space="preserve"> </w:t>
      </w:r>
      <w:proofErr w:type="spellStart"/>
      <w:r w:rsidRPr="00156698">
        <w:rPr>
          <w:rFonts w:ascii="Helvetica" w:eastAsia="Times New Roman" w:hAnsi="Helvetica" w:cs="Helvetica"/>
          <w:color w:val="333333"/>
          <w:sz w:val="21"/>
          <w:szCs w:val="21"/>
        </w:rPr>
        <w:t>Seirao</w:t>
      </w:r>
      <w:proofErr w:type="spellEnd"/>
      <w:r w:rsidRPr="00156698">
        <w:rPr>
          <w:rFonts w:ascii="Helvetica" w:eastAsia="Times New Roman" w:hAnsi="Helvetica" w:cs="Helvetica"/>
          <w:color w:val="333333"/>
          <w:sz w:val="21"/>
          <w:szCs w:val="21"/>
        </w:rPr>
        <w:t xml:space="preserve"> Alves (1998. “The item, the work, and the object of cataloging”, Cataloging &amp; Classification Quarterly, 26 (1), 45-62. doi:10.1300/J104v26n01_05</w:t>
      </w:r>
    </w:p>
    <w:p w14:paraId="1D0DAB8E" w14:textId="77777777" w:rsidR="00156698" w:rsidRPr="00156698" w:rsidRDefault="00156698" w:rsidP="00156698">
      <w:pPr>
        <w:spacing w:after="150" w:line="240" w:lineRule="auto"/>
        <w:rPr>
          <w:rFonts w:ascii="Helvetica" w:eastAsia="Times New Roman" w:hAnsi="Helvetica" w:cs="Helvetica"/>
          <w:color w:val="333333"/>
          <w:sz w:val="21"/>
          <w:szCs w:val="21"/>
        </w:rPr>
      </w:pPr>
      <w:r w:rsidRPr="00156698">
        <w:rPr>
          <w:rFonts w:ascii="Helvetica" w:eastAsia="Times New Roman" w:hAnsi="Helvetica" w:cs="Helvetica"/>
          <w:color w:val="333333"/>
          <w:sz w:val="21"/>
          <w:szCs w:val="21"/>
        </w:rPr>
        <w:t>Taylor, Arlene G. (2004). The Organization of Information. Westport, CT: Libraries Unlimited, Inc.</w:t>
      </w:r>
    </w:p>
    <w:p w14:paraId="377C8AE3" w14:textId="77777777" w:rsidR="007B5DB8" w:rsidRPr="007B5DB8" w:rsidRDefault="007B5DB8" w:rsidP="007B5DB8">
      <w:pPr>
        <w:shd w:val="clear" w:color="auto" w:fill="FFFFFF"/>
        <w:spacing w:after="0" w:line="240" w:lineRule="auto"/>
        <w:rPr>
          <w:rFonts w:ascii="Lucida Sans Unicode" w:eastAsia="Times New Roman" w:hAnsi="Lucida Sans Unicode" w:cs="Lucida Sans Unicode"/>
          <w:color w:val="565A5C"/>
          <w:spacing w:val="3"/>
          <w:sz w:val="29"/>
          <w:szCs w:val="29"/>
        </w:rPr>
      </w:pPr>
      <w:hyperlink r:id="rId11" w:history="1">
        <w:r w:rsidRPr="007B5DB8">
          <w:rPr>
            <w:rFonts w:ascii="Lucida Sans Unicode" w:eastAsia="Times New Roman" w:hAnsi="Lucida Sans Unicode" w:cs="Lucida Sans Unicode"/>
            <w:color w:val="006FBF"/>
            <w:spacing w:val="3"/>
            <w:sz w:val="29"/>
            <w:szCs w:val="29"/>
            <w:u w:val="single"/>
          </w:rPr>
          <w:t>Print</w:t>
        </w:r>
      </w:hyperlink>
    </w:p>
    <w:p w14:paraId="3FE8EF85" w14:textId="77777777" w:rsidR="007B5DB8" w:rsidRPr="007B5DB8" w:rsidRDefault="007B5DB8" w:rsidP="007B5DB8">
      <w:pPr>
        <w:shd w:val="clear" w:color="auto" w:fill="FFFFFF"/>
        <w:spacing w:before="100" w:beforeAutospacing="1" w:after="100" w:afterAutospacing="1" w:line="240" w:lineRule="auto"/>
        <w:outlineLvl w:val="0"/>
        <w:rPr>
          <w:rFonts w:ascii="Lucida Sans Unicode" w:eastAsia="Times New Roman" w:hAnsi="Lucida Sans Unicode" w:cs="Lucida Sans Unicode"/>
          <w:color w:val="565A5C"/>
          <w:spacing w:val="3"/>
          <w:kern w:val="36"/>
          <w:sz w:val="48"/>
          <w:szCs w:val="48"/>
        </w:rPr>
      </w:pPr>
      <w:r w:rsidRPr="007B5DB8">
        <w:rPr>
          <w:rFonts w:ascii="Lucida Sans Unicode" w:eastAsia="Times New Roman" w:hAnsi="Lucida Sans Unicode" w:cs="Lucida Sans Unicode"/>
          <w:color w:val="565A5C"/>
          <w:spacing w:val="3"/>
          <w:kern w:val="36"/>
          <w:sz w:val="48"/>
          <w:szCs w:val="48"/>
        </w:rPr>
        <w:t>Incident Response</w:t>
      </w:r>
    </w:p>
    <w:p w14:paraId="66399EFA" w14:textId="77777777" w:rsidR="007B5DB8" w:rsidRPr="007B5DB8" w:rsidRDefault="007B5DB8" w:rsidP="007B5DB8">
      <w:pPr>
        <w:spacing w:before="100" w:beforeAutospacing="1" w:after="100" w:afterAutospacing="1" w:line="240" w:lineRule="auto"/>
        <w:outlineLvl w:val="2"/>
        <w:rPr>
          <w:rFonts w:ascii="inherit" w:eastAsia="Times New Roman" w:hAnsi="inherit" w:cs="Times New Roman"/>
          <w:b/>
          <w:bCs/>
          <w:sz w:val="27"/>
          <w:szCs w:val="27"/>
        </w:rPr>
      </w:pPr>
      <w:r w:rsidRPr="007B5DB8">
        <w:rPr>
          <w:rFonts w:ascii="inherit" w:eastAsia="Times New Roman" w:hAnsi="inherit" w:cs="Times New Roman"/>
          <w:b/>
          <w:bCs/>
          <w:sz w:val="27"/>
          <w:szCs w:val="27"/>
        </w:rPr>
        <w:t>Incident Response</w:t>
      </w:r>
    </w:p>
    <w:p w14:paraId="4B94B89B"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Many corporations have cyber response teams dedicated to the handling of incidents -- events that indicate compromised systems or data loss. When organizations use tools to help detect events, it is important that those organizations have a well-defined incident-handling process to efficiently resolve security issues.</w:t>
      </w:r>
    </w:p>
    <w:p w14:paraId="237AFFB5"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According to the SANS Institute's Incident Handler's Handbook, the security incident handling can be separated into separate phases: preparation, identification, containment, eradication, recovery, and lessons learned.</w:t>
      </w:r>
    </w:p>
    <w:p w14:paraId="40B07DB9"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During the preparation phase, incident handlers and corporations need to make sure they're familiar with company policies and playbooks. These playbooks and policies should outline information such as drills and escalation contacts.</w:t>
      </w:r>
    </w:p>
    <w:p w14:paraId="4DD3FA2C"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The next phase of the incident-handling process is the identification of the incident. This stage involves accurately reporting the discoverer of the incident, the time, and the technological and business impacts of the incident.</w:t>
      </w:r>
    </w:p>
    <w:p w14:paraId="58314D43"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 xml:space="preserve">Once the incident has been successfully identified, the incident handler can move to the next phase of the process, containment. Containment involves determining if the incident can be </w:t>
      </w:r>
      <w:proofErr w:type="gramStart"/>
      <w:r w:rsidRPr="007B5DB8">
        <w:rPr>
          <w:rFonts w:ascii="Times New Roman" w:eastAsia="Times New Roman" w:hAnsi="Times New Roman" w:cs="Times New Roman"/>
          <w:sz w:val="24"/>
          <w:szCs w:val="24"/>
        </w:rPr>
        <w:t>isolated, and</w:t>
      </w:r>
      <w:proofErr w:type="gramEnd"/>
      <w:r w:rsidRPr="007B5DB8">
        <w:rPr>
          <w:rFonts w:ascii="Times New Roman" w:eastAsia="Times New Roman" w:hAnsi="Times New Roman" w:cs="Times New Roman"/>
          <w:sz w:val="24"/>
          <w:szCs w:val="24"/>
        </w:rPr>
        <w:t xml:space="preserve"> working with system owners and network administrators to help contain the </w:t>
      </w:r>
      <w:r w:rsidRPr="007B5DB8">
        <w:rPr>
          <w:rFonts w:ascii="Times New Roman" w:eastAsia="Times New Roman" w:hAnsi="Times New Roman" w:cs="Times New Roman"/>
          <w:sz w:val="24"/>
          <w:szCs w:val="24"/>
        </w:rPr>
        <w:lastRenderedPageBreak/>
        <w:t>problem. Incident handlers working with other security teams can help back up the system as well as save forensic copies for evidence.</w:t>
      </w:r>
    </w:p>
    <w:p w14:paraId="766DF707"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 xml:space="preserve">The next phases involve remediating the incident or compromise. The eradication and recovery phases involve attempting to reimage or restore the system from a secure backup </w:t>
      </w:r>
      <w:proofErr w:type="gramStart"/>
      <w:r w:rsidRPr="007B5DB8">
        <w:rPr>
          <w:rFonts w:ascii="Times New Roman" w:eastAsia="Times New Roman" w:hAnsi="Times New Roman" w:cs="Times New Roman"/>
          <w:sz w:val="24"/>
          <w:szCs w:val="24"/>
        </w:rPr>
        <w:t>in order to</w:t>
      </w:r>
      <w:proofErr w:type="gramEnd"/>
      <w:r w:rsidRPr="007B5DB8">
        <w:rPr>
          <w:rFonts w:ascii="Times New Roman" w:eastAsia="Times New Roman" w:hAnsi="Times New Roman" w:cs="Times New Roman"/>
          <w:sz w:val="24"/>
          <w:szCs w:val="24"/>
        </w:rPr>
        <w:t xml:space="preserve"> secure the system. Additionally, incident handlers can apply patches or other fixes to protect the system from malware targeting the same vulnerabilities.</w:t>
      </w:r>
    </w:p>
    <w:p w14:paraId="73AAB2C3"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The final stage of the incident handling process is lessons learned. During this phase, security professionals can document all processes of the issues and identify weakness areas to remediate in future incident-handling procedures.</w:t>
      </w:r>
    </w:p>
    <w:p w14:paraId="7698E057"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 xml:space="preserve">In conclusion, incident handling is a large part of any organization's cybersecurity teams. </w:t>
      </w:r>
      <w:proofErr w:type="gramStart"/>
      <w:r w:rsidRPr="007B5DB8">
        <w:rPr>
          <w:rFonts w:ascii="Times New Roman" w:eastAsia="Times New Roman" w:hAnsi="Times New Roman" w:cs="Times New Roman"/>
          <w:sz w:val="24"/>
          <w:szCs w:val="24"/>
        </w:rPr>
        <w:t>In order to</w:t>
      </w:r>
      <w:proofErr w:type="gramEnd"/>
      <w:r w:rsidRPr="007B5DB8">
        <w:rPr>
          <w:rFonts w:ascii="Times New Roman" w:eastAsia="Times New Roman" w:hAnsi="Times New Roman" w:cs="Times New Roman"/>
          <w:sz w:val="24"/>
          <w:szCs w:val="24"/>
        </w:rPr>
        <w:t xml:space="preserve"> effectively handle, remediate, and contain incidents, proper incident-handling techniques and processes must be in place in order to maintain a more secure and vigilant environment.</w:t>
      </w:r>
    </w:p>
    <w:p w14:paraId="61E37366"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b/>
          <w:bCs/>
          <w:sz w:val="24"/>
          <w:szCs w:val="24"/>
        </w:rPr>
        <w:t>Reference</w:t>
      </w:r>
    </w:p>
    <w:p w14:paraId="6DCEEB64"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proofErr w:type="spellStart"/>
      <w:r w:rsidRPr="007B5DB8">
        <w:rPr>
          <w:rFonts w:ascii="Times New Roman" w:eastAsia="Times New Roman" w:hAnsi="Times New Roman" w:cs="Times New Roman"/>
          <w:sz w:val="24"/>
          <w:szCs w:val="24"/>
        </w:rPr>
        <w:t>Kral</w:t>
      </w:r>
      <w:proofErr w:type="spellEnd"/>
      <w:r w:rsidRPr="007B5DB8">
        <w:rPr>
          <w:rFonts w:ascii="Times New Roman" w:eastAsia="Times New Roman" w:hAnsi="Times New Roman" w:cs="Times New Roman"/>
          <w:sz w:val="24"/>
          <w:szCs w:val="24"/>
        </w:rPr>
        <w:t>, P. (2012, February 21). Incident handler's handbook. Retrieved from https://www.sans.org/reading-room/whitepapers/incident/incident-handlers-handbook-33901</w:t>
      </w:r>
    </w:p>
    <w:p w14:paraId="36294547" w14:textId="77777777" w:rsidR="007B5DB8" w:rsidRPr="007B5DB8" w:rsidRDefault="007B5DB8" w:rsidP="007B5DB8">
      <w:pPr>
        <w:shd w:val="clear" w:color="auto" w:fill="F6E1FA"/>
        <w:spacing w:after="0" w:line="240" w:lineRule="auto"/>
        <w:outlineLvl w:val="2"/>
        <w:rPr>
          <w:rFonts w:ascii="inherit" w:eastAsia="Times New Roman" w:hAnsi="inherit" w:cs="Lucida Sans Unicode"/>
          <w:b/>
          <w:bCs/>
          <w:color w:val="7E358C"/>
          <w:spacing w:val="3"/>
          <w:sz w:val="27"/>
          <w:szCs w:val="27"/>
        </w:rPr>
      </w:pPr>
      <w:r w:rsidRPr="007B5DB8">
        <w:rPr>
          <w:rFonts w:ascii="inherit" w:eastAsia="Times New Roman" w:hAnsi="inherit" w:cs="Lucida Sans Unicode"/>
          <w:b/>
          <w:bCs/>
          <w:color w:val="7E358C"/>
          <w:spacing w:val="3"/>
          <w:sz w:val="27"/>
          <w:szCs w:val="27"/>
        </w:rPr>
        <w:t>Resources</w:t>
      </w:r>
    </w:p>
    <w:p w14:paraId="685388A3" w14:textId="77777777" w:rsidR="007B5DB8" w:rsidRPr="007B5DB8" w:rsidRDefault="007B5DB8" w:rsidP="007B5DB8">
      <w:pPr>
        <w:numPr>
          <w:ilvl w:val="0"/>
          <w:numId w:val="3"/>
        </w:numPr>
        <w:shd w:val="clear" w:color="auto" w:fill="FFFFFF"/>
        <w:spacing w:before="100" w:beforeAutospacing="1" w:after="100" w:afterAutospacing="1" w:line="240" w:lineRule="auto"/>
        <w:ind w:left="0"/>
        <w:rPr>
          <w:rFonts w:ascii="Lucida Sans Unicode" w:eastAsia="Times New Roman" w:hAnsi="Lucida Sans Unicode" w:cs="Lucida Sans Unicode"/>
          <w:color w:val="565A5C"/>
          <w:spacing w:val="3"/>
          <w:sz w:val="29"/>
          <w:szCs w:val="29"/>
        </w:rPr>
      </w:pPr>
      <w:hyperlink r:id="rId12" w:tgtFrame="_blank" w:history="1">
        <w:r w:rsidRPr="007B5DB8">
          <w:rPr>
            <w:rFonts w:ascii="Lucida Sans Unicode" w:eastAsia="Times New Roman" w:hAnsi="Lucida Sans Unicode" w:cs="Lucida Sans Unicode"/>
            <w:color w:val="006FBF"/>
            <w:spacing w:val="3"/>
            <w:sz w:val="29"/>
            <w:szCs w:val="29"/>
            <w:u w:val="single"/>
          </w:rPr>
          <w:t>Draft National Cyber Incident Response Plan</w:t>
        </w:r>
      </w:hyperlink>
    </w:p>
    <w:p w14:paraId="67ADB8DE" w14:textId="77777777" w:rsidR="007B5DB8" w:rsidRPr="007B5DB8" w:rsidRDefault="007B5DB8" w:rsidP="007B5DB8">
      <w:pPr>
        <w:numPr>
          <w:ilvl w:val="0"/>
          <w:numId w:val="3"/>
        </w:numPr>
        <w:shd w:val="clear" w:color="auto" w:fill="FFFFFF"/>
        <w:spacing w:before="100" w:beforeAutospacing="1" w:after="100" w:afterAutospacing="1" w:line="240" w:lineRule="auto"/>
        <w:ind w:left="0"/>
        <w:rPr>
          <w:rFonts w:ascii="Lucida Sans Unicode" w:eastAsia="Times New Roman" w:hAnsi="Lucida Sans Unicode" w:cs="Lucida Sans Unicode"/>
          <w:color w:val="565A5C"/>
          <w:spacing w:val="3"/>
          <w:sz w:val="29"/>
          <w:szCs w:val="29"/>
        </w:rPr>
      </w:pPr>
      <w:hyperlink r:id="rId13" w:tgtFrame="_blank" w:history="1">
        <w:r w:rsidRPr="007B5DB8">
          <w:rPr>
            <w:rFonts w:ascii="Lucida Sans Unicode" w:eastAsia="Times New Roman" w:hAnsi="Lucida Sans Unicode" w:cs="Lucida Sans Unicode"/>
            <w:color w:val="006FBF"/>
            <w:spacing w:val="3"/>
            <w:sz w:val="29"/>
            <w:szCs w:val="29"/>
            <w:u w:val="single"/>
          </w:rPr>
          <w:t>National CSIRTs and Their Role in Computer Security Incident Response</w:t>
        </w:r>
      </w:hyperlink>
    </w:p>
    <w:p w14:paraId="0E9A0CD2" w14:textId="77777777" w:rsidR="007B5DB8" w:rsidRPr="007B5DB8" w:rsidRDefault="007B5DB8" w:rsidP="007B5DB8">
      <w:pPr>
        <w:numPr>
          <w:ilvl w:val="0"/>
          <w:numId w:val="3"/>
        </w:numPr>
        <w:shd w:val="clear" w:color="auto" w:fill="FFFFFF"/>
        <w:spacing w:before="100" w:beforeAutospacing="1" w:after="100" w:afterAutospacing="1" w:line="240" w:lineRule="auto"/>
        <w:ind w:left="0"/>
        <w:rPr>
          <w:rFonts w:ascii="Lucida Sans Unicode" w:eastAsia="Times New Roman" w:hAnsi="Lucida Sans Unicode" w:cs="Lucida Sans Unicode"/>
          <w:color w:val="565A5C"/>
          <w:spacing w:val="3"/>
          <w:sz w:val="29"/>
          <w:szCs w:val="29"/>
        </w:rPr>
      </w:pPr>
      <w:hyperlink r:id="rId14" w:tgtFrame="_blank" w:history="1">
        <w:r w:rsidRPr="007B5DB8">
          <w:rPr>
            <w:rFonts w:ascii="Lucida Sans Unicode" w:eastAsia="Times New Roman" w:hAnsi="Lucida Sans Unicode" w:cs="Lucida Sans Unicode"/>
            <w:color w:val="006FBF"/>
            <w:spacing w:val="3"/>
            <w:sz w:val="29"/>
            <w:szCs w:val="29"/>
            <w:u w:val="single"/>
          </w:rPr>
          <w:t>Cyber Incident Response: Bridging the Gap Between Cybersecurity and Emergency Management</w:t>
        </w:r>
      </w:hyperlink>
    </w:p>
    <w:p w14:paraId="5A866DF6" w14:textId="77777777" w:rsidR="007B5DB8" w:rsidRPr="007B5DB8" w:rsidRDefault="007B5DB8" w:rsidP="007B5DB8">
      <w:pPr>
        <w:shd w:val="clear" w:color="auto" w:fill="FFFFFF"/>
        <w:spacing w:before="100" w:beforeAutospacing="1" w:after="100" w:afterAutospacing="1" w:line="240" w:lineRule="auto"/>
        <w:outlineLvl w:val="0"/>
        <w:rPr>
          <w:rFonts w:ascii="Lucida Sans Unicode" w:eastAsia="Times New Roman" w:hAnsi="Lucida Sans Unicode" w:cs="Lucida Sans Unicode"/>
          <w:color w:val="565A5C"/>
          <w:spacing w:val="3"/>
          <w:kern w:val="36"/>
          <w:sz w:val="48"/>
          <w:szCs w:val="48"/>
        </w:rPr>
      </w:pPr>
      <w:r w:rsidRPr="007B5DB8">
        <w:rPr>
          <w:rFonts w:ascii="Lucida Sans Unicode" w:eastAsia="Times New Roman" w:hAnsi="Lucida Sans Unicode" w:cs="Lucida Sans Unicode"/>
          <w:color w:val="565A5C"/>
          <w:spacing w:val="3"/>
          <w:kern w:val="36"/>
          <w:sz w:val="48"/>
          <w:szCs w:val="48"/>
        </w:rPr>
        <w:t>Wired Equivalent Privacy</w:t>
      </w:r>
    </w:p>
    <w:p w14:paraId="72354E2E"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proofErr w:type="gramStart"/>
      <w:r w:rsidRPr="007B5DB8">
        <w:rPr>
          <w:rFonts w:ascii="Times New Roman" w:eastAsia="Times New Roman" w:hAnsi="Times New Roman" w:cs="Times New Roman"/>
          <w:sz w:val="24"/>
          <w:szCs w:val="24"/>
        </w:rPr>
        <w:t>In order to</w:t>
      </w:r>
      <w:proofErr w:type="gramEnd"/>
      <w:r w:rsidRPr="007B5DB8">
        <w:rPr>
          <w:rFonts w:ascii="Times New Roman" w:eastAsia="Times New Roman" w:hAnsi="Times New Roman" w:cs="Times New Roman"/>
          <w:sz w:val="24"/>
          <w:szCs w:val="24"/>
        </w:rPr>
        <w:t xml:space="preserve"> protect information transmitted over 802.11 wireless networks and add a level of wireless security, volunteer IEEE members designed an encryption algorithm called Wired Equivalent Privacy (WEP). WEP aimed to "protect wireless communication from eavesdropping, prevent unauthorized access to a wireless network, and prevent tampering with transmitted messages" (Wong, 2003).</w:t>
      </w:r>
    </w:p>
    <w:p w14:paraId="0205366C"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 xml:space="preserve">While the WEP encryption protocol aimed to provide security by using an RC4 stream cipher by combining a 40-bit key with a 24-bit initialization vector, it was not subject to peer review and entered the market with </w:t>
      </w:r>
      <w:proofErr w:type="gramStart"/>
      <w:r w:rsidRPr="007B5DB8">
        <w:rPr>
          <w:rFonts w:ascii="Times New Roman" w:eastAsia="Times New Roman" w:hAnsi="Times New Roman" w:cs="Times New Roman"/>
          <w:sz w:val="24"/>
          <w:szCs w:val="24"/>
        </w:rPr>
        <w:t>a number of</w:t>
      </w:r>
      <w:proofErr w:type="gramEnd"/>
      <w:r w:rsidRPr="007B5DB8">
        <w:rPr>
          <w:rFonts w:ascii="Times New Roman" w:eastAsia="Times New Roman" w:hAnsi="Times New Roman" w:cs="Times New Roman"/>
          <w:sz w:val="24"/>
          <w:szCs w:val="24"/>
        </w:rPr>
        <w:t xml:space="preserve"> security flaws. Some of the issues included using the same initialization vectors, poor key management, and no authentication through the access points. </w:t>
      </w:r>
      <w:r w:rsidRPr="007B5DB8">
        <w:rPr>
          <w:rFonts w:ascii="Times New Roman" w:eastAsia="Times New Roman" w:hAnsi="Times New Roman" w:cs="Times New Roman"/>
          <w:sz w:val="24"/>
          <w:szCs w:val="24"/>
        </w:rPr>
        <w:lastRenderedPageBreak/>
        <w:t>Since WEP uses the same WEP key and only has a limited number of initialization vectors (0 to 16777215), the same initialization vectors could be used again, which nullifies the benefits of using an RC4 cipher. Additionally, hackers could decrypt the WEP key and could transform the ciphertext to obtain the data.</w:t>
      </w:r>
    </w:p>
    <w:p w14:paraId="1D057C84"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 xml:space="preserve">Vendors have attempted to remediate security issues </w:t>
      </w:r>
      <w:proofErr w:type="gramStart"/>
      <w:r w:rsidRPr="007B5DB8">
        <w:rPr>
          <w:rFonts w:ascii="Times New Roman" w:eastAsia="Times New Roman" w:hAnsi="Times New Roman" w:cs="Times New Roman"/>
          <w:sz w:val="24"/>
          <w:szCs w:val="24"/>
        </w:rPr>
        <w:t>through the use of</w:t>
      </w:r>
      <w:proofErr w:type="gramEnd"/>
      <w:r w:rsidRPr="007B5DB8">
        <w:rPr>
          <w:rFonts w:ascii="Times New Roman" w:eastAsia="Times New Roman" w:hAnsi="Times New Roman" w:cs="Times New Roman"/>
          <w:sz w:val="24"/>
          <w:szCs w:val="24"/>
        </w:rPr>
        <w:t xml:space="preserve"> enhanced and dynamic keys and VPNs. In 1998, Lucent created a 128-bit key, instead of the previously used 40-bit key to enhance security (Wong, 2003). However, this approach failed to address the issue when WEP keys were decrypted. Cisco attempted to remedy this issue by creating dynamic WEP keys -- </w:t>
      </w:r>
      <w:proofErr w:type="spellStart"/>
      <w:r w:rsidRPr="007B5DB8">
        <w:rPr>
          <w:rFonts w:ascii="Times New Roman" w:eastAsia="Times New Roman" w:hAnsi="Times New Roman" w:cs="Times New Roman"/>
          <w:sz w:val="24"/>
          <w:szCs w:val="24"/>
        </w:rPr>
        <w:t>keys</w:t>
      </w:r>
      <w:proofErr w:type="spellEnd"/>
      <w:r w:rsidRPr="007B5DB8">
        <w:rPr>
          <w:rFonts w:ascii="Times New Roman" w:eastAsia="Times New Roman" w:hAnsi="Times New Roman" w:cs="Times New Roman"/>
          <w:sz w:val="24"/>
          <w:szCs w:val="24"/>
        </w:rPr>
        <w:t xml:space="preserve"> that changed after intervals of </w:t>
      </w:r>
      <w:proofErr w:type="gramStart"/>
      <w:r w:rsidRPr="007B5DB8">
        <w:rPr>
          <w:rFonts w:ascii="Times New Roman" w:eastAsia="Times New Roman" w:hAnsi="Times New Roman" w:cs="Times New Roman"/>
          <w:sz w:val="24"/>
          <w:szCs w:val="24"/>
        </w:rPr>
        <w:t>time</w:t>
      </w:r>
      <w:proofErr w:type="gramEnd"/>
      <w:r w:rsidRPr="007B5DB8">
        <w:rPr>
          <w:rFonts w:ascii="Times New Roman" w:eastAsia="Times New Roman" w:hAnsi="Times New Roman" w:cs="Times New Roman"/>
          <w:sz w:val="24"/>
          <w:szCs w:val="24"/>
        </w:rPr>
        <w:t xml:space="preserve"> so attackers could never collect enough data to crack them.</w:t>
      </w:r>
    </w:p>
    <w:p w14:paraId="76869F08"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While WEP was an encouraging start to enhance the security of local wireless networks, there were some persistent security vulnerabilities. Eventually, the security environment migrated to WPA and then WPA2 to provide a higher level of security as access points were upgraded.</w:t>
      </w:r>
    </w:p>
    <w:p w14:paraId="258FE6E6"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b/>
          <w:bCs/>
          <w:sz w:val="24"/>
          <w:szCs w:val="24"/>
        </w:rPr>
        <w:t>Reference</w:t>
      </w:r>
    </w:p>
    <w:p w14:paraId="1C99DC19"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Wong, S. (2003, May 20). The evolution of wireless security in 802.11 networks: WEP, WPA and 802.11 standards. </w:t>
      </w:r>
      <w:r w:rsidRPr="007B5DB8">
        <w:rPr>
          <w:rFonts w:ascii="Times New Roman" w:eastAsia="Times New Roman" w:hAnsi="Times New Roman" w:cs="Times New Roman"/>
          <w:i/>
          <w:iCs/>
          <w:sz w:val="24"/>
          <w:szCs w:val="24"/>
        </w:rPr>
        <w:t>SANS Institute</w:t>
      </w:r>
      <w:r w:rsidRPr="007B5DB8">
        <w:rPr>
          <w:rFonts w:ascii="Times New Roman" w:eastAsia="Times New Roman" w:hAnsi="Times New Roman" w:cs="Times New Roman"/>
          <w:sz w:val="24"/>
          <w:szCs w:val="24"/>
        </w:rPr>
        <w:t>. Retrieved from https://www.sans.org/reading-room/whitepapers/wireless/evolution-wireless-security-80211-networks-wep-wpa-80211-standards-1109</w:t>
      </w:r>
    </w:p>
    <w:p w14:paraId="559D7D0D" w14:textId="77777777" w:rsidR="007B5DB8" w:rsidRPr="007B5DB8" w:rsidRDefault="007B5DB8" w:rsidP="007B5DB8">
      <w:pPr>
        <w:shd w:val="clear" w:color="auto" w:fill="F6E1FA"/>
        <w:spacing w:after="0" w:line="240" w:lineRule="auto"/>
        <w:outlineLvl w:val="2"/>
        <w:rPr>
          <w:rFonts w:ascii="inherit" w:eastAsia="Times New Roman" w:hAnsi="inherit" w:cs="Lucida Sans Unicode"/>
          <w:b/>
          <w:bCs/>
          <w:color w:val="7E358C"/>
          <w:spacing w:val="3"/>
          <w:sz w:val="27"/>
          <w:szCs w:val="27"/>
        </w:rPr>
      </w:pPr>
      <w:r w:rsidRPr="007B5DB8">
        <w:rPr>
          <w:rFonts w:ascii="inherit" w:eastAsia="Times New Roman" w:hAnsi="inherit" w:cs="Lucida Sans Unicode"/>
          <w:b/>
          <w:bCs/>
          <w:color w:val="7E358C"/>
          <w:spacing w:val="3"/>
          <w:sz w:val="27"/>
          <w:szCs w:val="27"/>
        </w:rPr>
        <w:t>Resources</w:t>
      </w:r>
    </w:p>
    <w:p w14:paraId="15D350FD" w14:textId="77777777" w:rsidR="007B5DB8" w:rsidRPr="007B5DB8" w:rsidRDefault="007B5DB8" w:rsidP="007B5DB8">
      <w:pPr>
        <w:numPr>
          <w:ilvl w:val="0"/>
          <w:numId w:val="4"/>
        </w:numPr>
        <w:shd w:val="clear" w:color="auto" w:fill="FFFFFF"/>
        <w:spacing w:before="100" w:beforeAutospacing="1" w:after="100" w:afterAutospacing="1" w:line="240" w:lineRule="auto"/>
        <w:ind w:left="0"/>
        <w:rPr>
          <w:rFonts w:ascii="Lucida Sans Unicode" w:eastAsia="Times New Roman" w:hAnsi="Lucida Sans Unicode" w:cs="Lucida Sans Unicode"/>
          <w:color w:val="565A5C"/>
          <w:spacing w:val="3"/>
          <w:sz w:val="29"/>
          <w:szCs w:val="29"/>
        </w:rPr>
      </w:pPr>
      <w:hyperlink r:id="rId15" w:tgtFrame="_blank" w:history="1">
        <w:r w:rsidRPr="007B5DB8">
          <w:rPr>
            <w:rFonts w:ascii="Lucida Sans Unicode" w:eastAsia="Times New Roman" w:hAnsi="Lucida Sans Unicode" w:cs="Lucida Sans Unicode"/>
            <w:color w:val="006FBF"/>
            <w:spacing w:val="3"/>
            <w:sz w:val="29"/>
            <w:szCs w:val="29"/>
            <w:u w:val="single"/>
          </w:rPr>
          <w:t>Comparative Analysis of Wireless Security Protocols: WEP vs WPA</w:t>
        </w:r>
      </w:hyperlink>
    </w:p>
    <w:p w14:paraId="66D6B7A6" w14:textId="77777777" w:rsidR="007B5DB8" w:rsidRPr="007B5DB8" w:rsidRDefault="007B5DB8" w:rsidP="007B5DB8">
      <w:pPr>
        <w:numPr>
          <w:ilvl w:val="0"/>
          <w:numId w:val="4"/>
        </w:numPr>
        <w:shd w:val="clear" w:color="auto" w:fill="FFFFFF"/>
        <w:spacing w:before="100" w:beforeAutospacing="1" w:after="100" w:afterAutospacing="1" w:line="240" w:lineRule="auto"/>
        <w:ind w:left="0"/>
        <w:rPr>
          <w:rFonts w:ascii="Lucida Sans Unicode" w:eastAsia="Times New Roman" w:hAnsi="Lucida Sans Unicode" w:cs="Lucida Sans Unicode"/>
          <w:color w:val="565A5C"/>
          <w:spacing w:val="3"/>
          <w:sz w:val="29"/>
          <w:szCs w:val="29"/>
        </w:rPr>
      </w:pPr>
      <w:hyperlink r:id="rId16" w:tgtFrame="_blank" w:history="1">
        <w:r w:rsidRPr="007B5DB8">
          <w:rPr>
            <w:rFonts w:ascii="Lucida Sans Unicode" w:eastAsia="Times New Roman" w:hAnsi="Lucida Sans Unicode" w:cs="Lucida Sans Unicode"/>
            <w:color w:val="006FBF"/>
            <w:spacing w:val="3"/>
            <w:sz w:val="29"/>
            <w:szCs w:val="29"/>
            <w:u w:val="single"/>
          </w:rPr>
          <w:t>Ground Rules of Wireless LAN Security</w:t>
        </w:r>
      </w:hyperlink>
    </w:p>
    <w:p w14:paraId="2C40E5C8" w14:textId="77777777" w:rsidR="007B5DB8" w:rsidRPr="007B5DB8" w:rsidRDefault="007B5DB8" w:rsidP="007B5DB8">
      <w:pPr>
        <w:shd w:val="clear" w:color="auto" w:fill="FFFFFF"/>
        <w:spacing w:after="0" w:line="240" w:lineRule="auto"/>
        <w:rPr>
          <w:rFonts w:ascii="Lucida Sans Unicode" w:eastAsia="Times New Roman" w:hAnsi="Lucida Sans Unicode" w:cs="Lucida Sans Unicode"/>
          <w:color w:val="565A5C"/>
          <w:spacing w:val="3"/>
          <w:sz w:val="29"/>
          <w:szCs w:val="29"/>
        </w:rPr>
      </w:pPr>
      <w:hyperlink r:id="rId17" w:history="1">
        <w:r w:rsidRPr="007B5DB8">
          <w:rPr>
            <w:rFonts w:ascii="Lucida Sans Unicode" w:eastAsia="Times New Roman" w:hAnsi="Lucida Sans Unicode" w:cs="Lucida Sans Unicode"/>
            <w:color w:val="006FBF"/>
            <w:spacing w:val="3"/>
            <w:sz w:val="29"/>
            <w:szCs w:val="29"/>
          </w:rPr>
          <w:t>Print</w:t>
        </w:r>
      </w:hyperlink>
    </w:p>
    <w:p w14:paraId="50BBFF73" w14:textId="77777777" w:rsidR="007B5DB8" w:rsidRPr="007B5DB8" w:rsidRDefault="007B5DB8" w:rsidP="007B5DB8">
      <w:pPr>
        <w:shd w:val="clear" w:color="auto" w:fill="FFFFFF"/>
        <w:spacing w:before="100" w:beforeAutospacing="1" w:after="100" w:afterAutospacing="1" w:line="240" w:lineRule="auto"/>
        <w:outlineLvl w:val="0"/>
        <w:rPr>
          <w:rFonts w:ascii="Lucida Sans Unicode" w:eastAsia="Times New Roman" w:hAnsi="Lucida Sans Unicode" w:cs="Lucida Sans Unicode"/>
          <w:color w:val="565A5C"/>
          <w:spacing w:val="3"/>
          <w:kern w:val="36"/>
          <w:sz w:val="48"/>
          <w:szCs w:val="48"/>
        </w:rPr>
      </w:pPr>
      <w:r w:rsidRPr="007B5DB8">
        <w:rPr>
          <w:rFonts w:ascii="Lucida Sans Unicode" w:eastAsia="Times New Roman" w:hAnsi="Lucida Sans Unicode" w:cs="Lucida Sans Unicode"/>
          <w:color w:val="565A5C"/>
          <w:spacing w:val="3"/>
          <w:kern w:val="36"/>
          <w:sz w:val="48"/>
          <w:szCs w:val="48"/>
        </w:rPr>
        <w:t>Remote Configuration Management</w:t>
      </w:r>
    </w:p>
    <w:p w14:paraId="5743B7CB"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Remote configuration management allows system configuration changes to be performed through the network without needing access to the console of the system being configured. A technician can also work on someone's computer remotely without needing to be physically present at a location. This is often done by installing remote control software or a service to allow the two connecting devices to communicate. Sometimes special protocols are used for this function. Remote configuration management can be used for:</w:t>
      </w:r>
    </w:p>
    <w:p w14:paraId="5BEEB87E" w14:textId="77777777" w:rsidR="007B5DB8" w:rsidRPr="007B5DB8" w:rsidRDefault="007B5DB8" w:rsidP="007B5DB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configuration</w:t>
      </w:r>
    </w:p>
    <w:p w14:paraId="70289A21" w14:textId="77777777" w:rsidR="007B5DB8" w:rsidRPr="007B5DB8" w:rsidRDefault="007B5DB8" w:rsidP="007B5DB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diagnosing problems/troubleshooting</w:t>
      </w:r>
    </w:p>
    <w:p w14:paraId="60ADD474" w14:textId="77777777" w:rsidR="007B5DB8" w:rsidRPr="007B5DB8" w:rsidRDefault="007B5DB8" w:rsidP="007B5DB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asset discovery</w:t>
      </w:r>
    </w:p>
    <w:p w14:paraId="07BC58B6" w14:textId="77777777" w:rsidR="007B5DB8" w:rsidRPr="007B5DB8" w:rsidRDefault="007B5DB8" w:rsidP="007B5DB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patch management</w:t>
      </w:r>
    </w:p>
    <w:p w14:paraId="5FA3E72D" w14:textId="77777777" w:rsidR="007B5DB8" w:rsidRPr="007B5DB8" w:rsidRDefault="007B5DB8" w:rsidP="007B5DB8">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lastRenderedPageBreak/>
        <w:t>monitoring</w:t>
      </w:r>
    </w:p>
    <w:p w14:paraId="2DE897DE"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 xml:space="preserve">Remote configuration management tools usually alert the user when someone is trying to connect to the computer. Furthermore, </w:t>
      </w:r>
      <w:proofErr w:type="gramStart"/>
      <w:r w:rsidRPr="007B5DB8">
        <w:rPr>
          <w:rFonts w:ascii="Times New Roman" w:eastAsia="Times New Roman" w:hAnsi="Times New Roman" w:cs="Times New Roman"/>
          <w:sz w:val="24"/>
          <w:szCs w:val="24"/>
        </w:rPr>
        <w:t>in order to</w:t>
      </w:r>
      <w:proofErr w:type="gramEnd"/>
      <w:r w:rsidRPr="007B5DB8">
        <w:rPr>
          <w:rFonts w:ascii="Times New Roman" w:eastAsia="Times New Roman" w:hAnsi="Times New Roman" w:cs="Times New Roman"/>
          <w:sz w:val="24"/>
          <w:szCs w:val="24"/>
        </w:rPr>
        <w:t xml:space="preserve"> limit malicious activity, the user or administrator can usually determine the level of permission or control granted to the software. Hackers have exploited remote configuration management tools and services to gain access to computers and cause havoc.</w:t>
      </w:r>
    </w:p>
    <w:p w14:paraId="4F16F66A"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Microsoft's remote desktop protocol, port 3389, was maliciously used by hackers to trick users into allowing the hacker into their machines by posing as Microsoft personnel. Afterward, hackers would encrypt the user's machine, essentially locking the user out of their machine, and then demand money to unlock the device. This vulnerability was mainly exploited on older versions of Windows such as Windows XP.</w:t>
      </w:r>
    </w:p>
    <w:p w14:paraId="3EF82762" w14:textId="77777777" w:rsidR="007B5DB8" w:rsidRPr="007B5DB8" w:rsidRDefault="007B5DB8" w:rsidP="007B5DB8">
      <w:pPr>
        <w:spacing w:before="100" w:beforeAutospacing="1" w:after="100" w:afterAutospacing="1" w:line="240" w:lineRule="auto"/>
        <w:rPr>
          <w:rFonts w:ascii="Times New Roman" w:eastAsia="Times New Roman" w:hAnsi="Times New Roman" w:cs="Times New Roman"/>
          <w:sz w:val="24"/>
          <w:szCs w:val="24"/>
        </w:rPr>
      </w:pPr>
      <w:r w:rsidRPr="007B5DB8">
        <w:rPr>
          <w:rFonts w:ascii="Times New Roman" w:eastAsia="Times New Roman" w:hAnsi="Times New Roman" w:cs="Times New Roman"/>
          <w:sz w:val="24"/>
          <w:szCs w:val="24"/>
        </w:rPr>
        <w:t>Good security practices are imperative when using a remote configuration management tool. Such a service should be disconnected or turned off when it is not being used.</w:t>
      </w:r>
    </w:p>
    <w:p w14:paraId="510BC380" w14:textId="77777777" w:rsidR="007B5DB8" w:rsidRPr="007B5DB8" w:rsidRDefault="007B5DB8" w:rsidP="007B5DB8">
      <w:pPr>
        <w:spacing w:before="100" w:beforeAutospacing="1" w:after="100" w:afterAutospacing="1" w:line="240" w:lineRule="auto"/>
        <w:rPr>
          <w:rFonts w:ascii="Lucida Sans Unicode" w:eastAsia="Times New Roman" w:hAnsi="Lucida Sans Unicode" w:cs="Lucida Sans Unicode"/>
          <w:color w:val="72777A"/>
          <w:spacing w:val="3"/>
          <w:sz w:val="20"/>
          <w:szCs w:val="20"/>
          <w:shd w:val="clear" w:color="auto" w:fill="FFFFFF"/>
        </w:rPr>
      </w:pPr>
      <w:r w:rsidRPr="007B5DB8">
        <w:rPr>
          <w:rFonts w:ascii="Lucida Sans Unicode" w:eastAsia="Times New Roman" w:hAnsi="Lucida Sans Unicode" w:cs="Lucida Sans Unicode"/>
          <w:color w:val="72777A"/>
          <w:spacing w:val="3"/>
          <w:sz w:val="20"/>
          <w:szCs w:val="20"/>
          <w:shd w:val="clear" w:color="auto" w:fill="FFFFFF"/>
        </w:rPr>
        <w:t>Copyright © 2017 by University of Maryland University College (UMUC). All rights reserved. No part of this publication may be reproduced, stored in a retrieval system, or transmitted in any form or by any means, electronic, mechanical, photocopying, recording, or otherwise, without prior written permission of the copyright holder.</w:t>
      </w:r>
    </w:p>
    <w:p w14:paraId="4B57EABA" w14:textId="77777777" w:rsidR="007B5DB8" w:rsidRPr="007B5DB8" w:rsidRDefault="007B5DB8" w:rsidP="007B5DB8">
      <w:pPr>
        <w:spacing w:before="100" w:beforeAutospacing="1" w:after="100" w:afterAutospacing="1" w:line="240" w:lineRule="auto"/>
        <w:rPr>
          <w:rFonts w:ascii="Lucida Sans Unicode" w:eastAsia="Times New Roman" w:hAnsi="Lucida Sans Unicode" w:cs="Lucida Sans Unicode"/>
          <w:color w:val="72777A"/>
          <w:spacing w:val="3"/>
          <w:sz w:val="20"/>
          <w:szCs w:val="20"/>
          <w:shd w:val="clear" w:color="auto" w:fill="FFFFFF"/>
        </w:rPr>
      </w:pPr>
      <w:r w:rsidRPr="007B5DB8">
        <w:rPr>
          <w:rFonts w:ascii="Lucida Sans Unicode" w:eastAsia="Times New Roman" w:hAnsi="Lucida Sans Unicode" w:cs="Lucida Sans Unicode"/>
          <w:color w:val="72777A"/>
          <w:spacing w:val="3"/>
          <w:sz w:val="20"/>
          <w:szCs w:val="20"/>
          <w:shd w:val="clear" w:color="auto" w:fill="FFFFFF"/>
        </w:rPr>
        <w:t>All links to external sites were verified at the time of publication. UMUC is not responsible for the validity or integrity of information located at external sites.</w:t>
      </w:r>
    </w:p>
    <w:p w14:paraId="307B2467" w14:textId="77777777" w:rsidR="00156698" w:rsidRDefault="00156698">
      <w:bookmarkStart w:id="0" w:name="_GoBack"/>
      <w:bookmarkEnd w:id="0"/>
    </w:p>
    <w:sectPr w:rsidR="001566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D13FC"/>
    <w:multiLevelType w:val="multilevel"/>
    <w:tmpl w:val="D38AF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01E63"/>
    <w:multiLevelType w:val="multilevel"/>
    <w:tmpl w:val="CA88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83CBB"/>
    <w:multiLevelType w:val="multilevel"/>
    <w:tmpl w:val="22F0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2831C4"/>
    <w:multiLevelType w:val="multilevel"/>
    <w:tmpl w:val="AF96A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E90B7F"/>
    <w:multiLevelType w:val="multilevel"/>
    <w:tmpl w:val="882A5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698"/>
    <w:rsid w:val="00156698"/>
    <w:rsid w:val="00304B94"/>
    <w:rsid w:val="007B5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641CA"/>
  <w15:chartTrackingRefBased/>
  <w15:docId w15:val="{699D3094-4105-4A4B-877F-B519BEC55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7B5DB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7B5D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DB8"/>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7B5DB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B5DB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5DB8"/>
    <w:rPr>
      <w:b/>
      <w:bCs/>
    </w:rPr>
  </w:style>
  <w:style w:type="paragraph" w:customStyle="1" w:styleId="citation">
    <w:name w:val="citation"/>
    <w:basedOn w:val="Normal"/>
    <w:rsid w:val="007B5DB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B5DB8"/>
    <w:rPr>
      <w:i/>
      <w:iCs/>
    </w:rPr>
  </w:style>
  <w:style w:type="character" w:styleId="Hyperlink">
    <w:name w:val="Hyperlink"/>
    <w:basedOn w:val="DefaultParagraphFont"/>
    <w:uiPriority w:val="99"/>
    <w:semiHidden/>
    <w:unhideWhenUsed/>
    <w:rsid w:val="007B5D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78153">
      <w:bodyDiv w:val="1"/>
      <w:marLeft w:val="0"/>
      <w:marRight w:val="0"/>
      <w:marTop w:val="0"/>
      <w:marBottom w:val="0"/>
      <w:divBdr>
        <w:top w:val="none" w:sz="0" w:space="0" w:color="auto"/>
        <w:left w:val="none" w:sz="0" w:space="0" w:color="auto"/>
        <w:bottom w:val="none" w:sz="0" w:space="0" w:color="auto"/>
        <w:right w:val="none" w:sz="0" w:space="0" w:color="auto"/>
      </w:divBdr>
    </w:div>
    <w:div w:id="145703861">
      <w:bodyDiv w:val="1"/>
      <w:marLeft w:val="0"/>
      <w:marRight w:val="0"/>
      <w:marTop w:val="0"/>
      <w:marBottom w:val="0"/>
      <w:divBdr>
        <w:top w:val="none" w:sz="0" w:space="0" w:color="auto"/>
        <w:left w:val="none" w:sz="0" w:space="0" w:color="auto"/>
        <w:bottom w:val="none" w:sz="0" w:space="0" w:color="auto"/>
        <w:right w:val="none" w:sz="0" w:space="0" w:color="auto"/>
      </w:divBdr>
    </w:div>
    <w:div w:id="267470707">
      <w:bodyDiv w:val="1"/>
      <w:marLeft w:val="0"/>
      <w:marRight w:val="0"/>
      <w:marTop w:val="0"/>
      <w:marBottom w:val="0"/>
      <w:divBdr>
        <w:top w:val="none" w:sz="0" w:space="0" w:color="auto"/>
        <w:left w:val="none" w:sz="0" w:space="0" w:color="auto"/>
        <w:bottom w:val="none" w:sz="0" w:space="0" w:color="auto"/>
        <w:right w:val="none" w:sz="0" w:space="0" w:color="auto"/>
      </w:divBdr>
      <w:divsChild>
        <w:div w:id="316543303">
          <w:marLeft w:val="-225"/>
          <w:marRight w:val="-225"/>
          <w:marTop w:val="0"/>
          <w:marBottom w:val="0"/>
          <w:divBdr>
            <w:top w:val="none" w:sz="0" w:space="0" w:color="auto"/>
            <w:left w:val="none" w:sz="0" w:space="0" w:color="auto"/>
            <w:bottom w:val="none" w:sz="0" w:space="0" w:color="auto"/>
            <w:right w:val="none" w:sz="0" w:space="0" w:color="auto"/>
          </w:divBdr>
          <w:divsChild>
            <w:div w:id="74568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18430">
      <w:bodyDiv w:val="1"/>
      <w:marLeft w:val="0"/>
      <w:marRight w:val="0"/>
      <w:marTop w:val="0"/>
      <w:marBottom w:val="0"/>
      <w:divBdr>
        <w:top w:val="none" w:sz="0" w:space="0" w:color="auto"/>
        <w:left w:val="none" w:sz="0" w:space="0" w:color="auto"/>
        <w:bottom w:val="none" w:sz="0" w:space="0" w:color="auto"/>
        <w:right w:val="none" w:sz="0" w:space="0" w:color="auto"/>
      </w:divBdr>
      <w:divsChild>
        <w:div w:id="460652731">
          <w:marLeft w:val="0"/>
          <w:marRight w:val="0"/>
          <w:marTop w:val="0"/>
          <w:marBottom w:val="0"/>
          <w:divBdr>
            <w:top w:val="single" w:sz="6" w:space="0" w:color="B24AC7"/>
            <w:left w:val="single" w:sz="6" w:space="0" w:color="B24AC7"/>
            <w:bottom w:val="single" w:sz="6" w:space="0" w:color="B24AC7"/>
            <w:right w:val="single" w:sz="6" w:space="0" w:color="B24AC7"/>
          </w:divBdr>
          <w:divsChild>
            <w:div w:id="1025905350">
              <w:marLeft w:val="0"/>
              <w:marRight w:val="0"/>
              <w:marTop w:val="0"/>
              <w:marBottom w:val="0"/>
              <w:divBdr>
                <w:top w:val="none" w:sz="0" w:space="0" w:color="auto"/>
                <w:left w:val="none" w:sz="0" w:space="0" w:color="auto"/>
                <w:bottom w:val="single" w:sz="6" w:space="0" w:color="B24AC7"/>
                <w:right w:val="none" w:sz="0" w:space="0" w:color="auto"/>
              </w:divBdr>
            </w:div>
          </w:divsChild>
        </w:div>
      </w:divsChild>
    </w:div>
    <w:div w:id="669137876">
      <w:bodyDiv w:val="1"/>
      <w:marLeft w:val="0"/>
      <w:marRight w:val="0"/>
      <w:marTop w:val="0"/>
      <w:marBottom w:val="0"/>
      <w:divBdr>
        <w:top w:val="none" w:sz="0" w:space="0" w:color="auto"/>
        <w:left w:val="none" w:sz="0" w:space="0" w:color="auto"/>
        <w:bottom w:val="none" w:sz="0" w:space="0" w:color="auto"/>
        <w:right w:val="none" w:sz="0" w:space="0" w:color="auto"/>
      </w:divBdr>
      <w:divsChild>
        <w:div w:id="1539974175">
          <w:marLeft w:val="-225"/>
          <w:marRight w:val="-225"/>
          <w:marTop w:val="0"/>
          <w:marBottom w:val="0"/>
          <w:divBdr>
            <w:top w:val="none" w:sz="0" w:space="0" w:color="auto"/>
            <w:left w:val="none" w:sz="0" w:space="0" w:color="auto"/>
            <w:bottom w:val="none" w:sz="0" w:space="0" w:color="auto"/>
            <w:right w:val="none" w:sz="0" w:space="0" w:color="auto"/>
          </w:divBdr>
          <w:divsChild>
            <w:div w:id="1851096970">
              <w:marLeft w:val="0"/>
              <w:marRight w:val="0"/>
              <w:marTop w:val="0"/>
              <w:marBottom w:val="0"/>
              <w:divBdr>
                <w:top w:val="none" w:sz="0" w:space="0" w:color="auto"/>
                <w:left w:val="none" w:sz="0" w:space="0" w:color="auto"/>
                <w:bottom w:val="none" w:sz="0" w:space="0" w:color="auto"/>
                <w:right w:val="none" w:sz="0" w:space="0" w:color="auto"/>
              </w:divBdr>
              <w:divsChild>
                <w:div w:id="1783572726">
                  <w:marLeft w:val="240"/>
                  <w:marRight w:val="0"/>
                  <w:marTop w:val="0"/>
                  <w:marBottom w:val="0"/>
                  <w:divBdr>
                    <w:top w:val="none" w:sz="0" w:space="0" w:color="auto"/>
                    <w:left w:val="single" w:sz="12" w:space="12" w:color="011E41"/>
                    <w:bottom w:val="none" w:sz="0" w:space="0" w:color="auto"/>
                    <w:right w:val="none" w:sz="0" w:space="0" w:color="auto"/>
                  </w:divBdr>
                </w:div>
              </w:divsChild>
            </w:div>
            <w:div w:id="1968925843">
              <w:marLeft w:val="0"/>
              <w:marRight w:val="0"/>
              <w:marTop w:val="0"/>
              <w:marBottom w:val="0"/>
              <w:divBdr>
                <w:top w:val="none" w:sz="0" w:space="0" w:color="auto"/>
                <w:left w:val="none" w:sz="0" w:space="0" w:color="auto"/>
                <w:bottom w:val="none" w:sz="0" w:space="0" w:color="auto"/>
                <w:right w:val="none" w:sz="0" w:space="0" w:color="auto"/>
              </w:divBdr>
            </w:div>
          </w:divsChild>
        </w:div>
        <w:div w:id="1014575082">
          <w:marLeft w:val="0"/>
          <w:marRight w:val="0"/>
          <w:marTop w:val="0"/>
          <w:marBottom w:val="0"/>
          <w:divBdr>
            <w:top w:val="single" w:sz="6" w:space="0" w:color="B24AC7"/>
            <w:left w:val="single" w:sz="6" w:space="0" w:color="B24AC7"/>
            <w:bottom w:val="single" w:sz="6" w:space="0" w:color="B24AC7"/>
            <w:right w:val="single" w:sz="6" w:space="0" w:color="B24AC7"/>
          </w:divBdr>
          <w:divsChild>
            <w:div w:id="1010063169">
              <w:marLeft w:val="0"/>
              <w:marRight w:val="0"/>
              <w:marTop w:val="0"/>
              <w:marBottom w:val="0"/>
              <w:divBdr>
                <w:top w:val="none" w:sz="0" w:space="0" w:color="auto"/>
                <w:left w:val="none" w:sz="0" w:space="0" w:color="auto"/>
                <w:bottom w:val="single" w:sz="6" w:space="0" w:color="B24AC7"/>
                <w:right w:val="none" w:sz="0" w:space="0" w:color="auto"/>
              </w:divBdr>
            </w:div>
          </w:divsChild>
        </w:div>
      </w:divsChild>
    </w:div>
    <w:div w:id="711686181">
      <w:bodyDiv w:val="1"/>
      <w:marLeft w:val="0"/>
      <w:marRight w:val="0"/>
      <w:marTop w:val="0"/>
      <w:marBottom w:val="0"/>
      <w:divBdr>
        <w:top w:val="none" w:sz="0" w:space="0" w:color="auto"/>
        <w:left w:val="none" w:sz="0" w:space="0" w:color="auto"/>
        <w:bottom w:val="none" w:sz="0" w:space="0" w:color="auto"/>
        <w:right w:val="none" w:sz="0" w:space="0" w:color="auto"/>
      </w:divBdr>
    </w:div>
    <w:div w:id="844705396">
      <w:bodyDiv w:val="1"/>
      <w:marLeft w:val="0"/>
      <w:marRight w:val="0"/>
      <w:marTop w:val="0"/>
      <w:marBottom w:val="0"/>
      <w:divBdr>
        <w:top w:val="none" w:sz="0" w:space="0" w:color="auto"/>
        <w:left w:val="none" w:sz="0" w:space="0" w:color="auto"/>
        <w:bottom w:val="none" w:sz="0" w:space="0" w:color="auto"/>
        <w:right w:val="none" w:sz="0" w:space="0" w:color="auto"/>
      </w:divBdr>
      <w:divsChild>
        <w:div w:id="2038382724">
          <w:marLeft w:val="-225"/>
          <w:marRight w:val="-225"/>
          <w:marTop w:val="0"/>
          <w:marBottom w:val="0"/>
          <w:divBdr>
            <w:top w:val="none" w:sz="0" w:space="0" w:color="auto"/>
            <w:left w:val="none" w:sz="0" w:space="0" w:color="auto"/>
            <w:bottom w:val="none" w:sz="0" w:space="0" w:color="auto"/>
            <w:right w:val="none" w:sz="0" w:space="0" w:color="auto"/>
          </w:divBdr>
          <w:divsChild>
            <w:div w:id="44099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242732">
      <w:bodyDiv w:val="1"/>
      <w:marLeft w:val="0"/>
      <w:marRight w:val="0"/>
      <w:marTop w:val="0"/>
      <w:marBottom w:val="0"/>
      <w:divBdr>
        <w:top w:val="none" w:sz="0" w:space="0" w:color="auto"/>
        <w:left w:val="none" w:sz="0" w:space="0" w:color="auto"/>
        <w:bottom w:val="none" w:sz="0" w:space="0" w:color="auto"/>
        <w:right w:val="none" w:sz="0" w:space="0" w:color="auto"/>
      </w:divBdr>
      <w:divsChild>
        <w:div w:id="782921640">
          <w:marLeft w:val="-225"/>
          <w:marRight w:val="-225"/>
          <w:marTop w:val="0"/>
          <w:marBottom w:val="0"/>
          <w:divBdr>
            <w:top w:val="none" w:sz="0" w:space="0" w:color="auto"/>
            <w:left w:val="none" w:sz="0" w:space="0" w:color="auto"/>
            <w:bottom w:val="none" w:sz="0" w:space="0" w:color="auto"/>
            <w:right w:val="none" w:sz="0" w:space="0" w:color="auto"/>
          </w:divBdr>
          <w:divsChild>
            <w:div w:id="851722439">
              <w:marLeft w:val="0"/>
              <w:marRight w:val="0"/>
              <w:marTop w:val="0"/>
              <w:marBottom w:val="0"/>
              <w:divBdr>
                <w:top w:val="none" w:sz="0" w:space="0" w:color="auto"/>
                <w:left w:val="none" w:sz="0" w:space="0" w:color="auto"/>
                <w:bottom w:val="none" w:sz="0" w:space="0" w:color="auto"/>
                <w:right w:val="none" w:sz="0" w:space="0" w:color="auto"/>
              </w:divBdr>
            </w:div>
          </w:divsChild>
        </w:div>
        <w:div w:id="1761413346">
          <w:marLeft w:val="0"/>
          <w:marRight w:val="0"/>
          <w:marTop w:val="0"/>
          <w:marBottom w:val="0"/>
          <w:divBdr>
            <w:top w:val="single" w:sz="6" w:space="0" w:color="B24AC7"/>
            <w:left w:val="single" w:sz="6" w:space="0" w:color="B24AC7"/>
            <w:bottom w:val="single" w:sz="6" w:space="0" w:color="B24AC7"/>
            <w:right w:val="single" w:sz="6" w:space="0" w:color="B24AC7"/>
          </w:divBdr>
          <w:divsChild>
            <w:div w:id="659389222">
              <w:marLeft w:val="0"/>
              <w:marRight w:val="0"/>
              <w:marTop w:val="0"/>
              <w:marBottom w:val="0"/>
              <w:divBdr>
                <w:top w:val="none" w:sz="0" w:space="0" w:color="auto"/>
                <w:left w:val="none" w:sz="0" w:space="0" w:color="auto"/>
                <w:bottom w:val="single" w:sz="6" w:space="0" w:color="B24AC7"/>
                <w:right w:val="none" w:sz="0" w:space="0" w:color="auto"/>
              </w:divBdr>
            </w:div>
          </w:divsChild>
        </w:div>
      </w:divsChild>
    </w:div>
    <w:div w:id="1225602002">
      <w:bodyDiv w:val="1"/>
      <w:marLeft w:val="0"/>
      <w:marRight w:val="0"/>
      <w:marTop w:val="0"/>
      <w:marBottom w:val="0"/>
      <w:divBdr>
        <w:top w:val="none" w:sz="0" w:space="0" w:color="auto"/>
        <w:left w:val="none" w:sz="0" w:space="0" w:color="auto"/>
        <w:bottom w:val="none" w:sz="0" w:space="0" w:color="auto"/>
        <w:right w:val="none" w:sz="0" w:space="0" w:color="auto"/>
      </w:divBdr>
      <w:divsChild>
        <w:div w:id="49767164">
          <w:marLeft w:val="-225"/>
          <w:marRight w:val="-225"/>
          <w:marTop w:val="0"/>
          <w:marBottom w:val="0"/>
          <w:divBdr>
            <w:top w:val="none" w:sz="0" w:space="0" w:color="auto"/>
            <w:left w:val="none" w:sz="0" w:space="0" w:color="auto"/>
            <w:bottom w:val="none" w:sz="0" w:space="0" w:color="auto"/>
            <w:right w:val="none" w:sz="0" w:space="0" w:color="auto"/>
          </w:divBdr>
          <w:divsChild>
            <w:div w:id="68867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297799">
      <w:bodyDiv w:val="1"/>
      <w:marLeft w:val="0"/>
      <w:marRight w:val="0"/>
      <w:marTop w:val="0"/>
      <w:marBottom w:val="0"/>
      <w:divBdr>
        <w:top w:val="none" w:sz="0" w:space="0" w:color="auto"/>
        <w:left w:val="none" w:sz="0" w:space="0" w:color="auto"/>
        <w:bottom w:val="none" w:sz="0" w:space="0" w:color="auto"/>
        <w:right w:val="none" w:sz="0" w:space="0" w:color="auto"/>
      </w:divBdr>
    </w:div>
    <w:div w:id="1980107376">
      <w:bodyDiv w:val="1"/>
      <w:marLeft w:val="0"/>
      <w:marRight w:val="0"/>
      <w:marTop w:val="0"/>
      <w:marBottom w:val="0"/>
      <w:divBdr>
        <w:top w:val="none" w:sz="0" w:space="0" w:color="auto"/>
        <w:left w:val="none" w:sz="0" w:space="0" w:color="auto"/>
        <w:bottom w:val="none" w:sz="0" w:space="0" w:color="auto"/>
        <w:right w:val="none" w:sz="0" w:space="0" w:color="auto"/>
      </w:divBdr>
      <w:divsChild>
        <w:div w:id="1195924099">
          <w:marLeft w:val="-225"/>
          <w:marRight w:val="-225"/>
          <w:marTop w:val="0"/>
          <w:marBottom w:val="0"/>
          <w:divBdr>
            <w:top w:val="none" w:sz="0" w:space="0" w:color="auto"/>
            <w:left w:val="none" w:sz="0" w:space="0" w:color="auto"/>
            <w:bottom w:val="none" w:sz="0" w:space="0" w:color="auto"/>
            <w:right w:val="none" w:sz="0" w:space="0" w:color="auto"/>
          </w:divBdr>
          <w:divsChild>
            <w:div w:id="3770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ti.umuc.edu/contentadaptor/page/topic?keyword=Cyber%20Kill%20Chain" TargetMode="External"/><Relationship Id="rId13" Type="http://schemas.openxmlformats.org/officeDocument/2006/relationships/hyperlink" Target="https://lti.umuc.edu/contentadaptor/topics/byid/274af719-e5b0-40df-8d2f-24ed8eda68c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ti.umuc.edu/contentadaptor/page/topic?keyword=Rogue%20Access%20Points" TargetMode="External"/><Relationship Id="rId12" Type="http://schemas.openxmlformats.org/officeDocument/2006/relationships/hyperlink" Target="https://lti.umuc.edu/contentadaptor/topics/byid/720a5f1d-9b71-43f1-bae1-6893f92eda2f" TargetMode="External"/><Relationship Id="rId17" Type="http://schemas.openxmlformats.org/officeDocument/2006/relationships/hyperlink" Target="https://lti.umuc.edu/contentadaptor/page/topic?keyword=Remote%20Configuration%20Management" TargetMode="External"/><Relationship Id="rId2" Type="http://schemas.openxmlformats.org/officeDocument/2006/relationships/styles" Target="styles.xml"/><Relationship Id="rId16" Type="http://schemas.openxmlformats.org/officeDocument/2006/relationships/hyperlink" Target="https://lti.umuc.edu/contentadaptor/topics/byid/684ef5b2-1ca2-43da-849f-90232ad4e062"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lti.umuc.edu/contentadaptor/page/topic?keyword=Incident%20Response" TargetMode="External"/><Relationship Id="rId5" Type="http://schemas.openxmlformats.org/officeDocument/2006/relationships/hyperlink" Target="https://lti.umuc.edu/contentadaptor/page/topic?keyword=Cybersecurity%20Incident%20Report" TargetMode="External"/><Relationship Id="rId15" Type="http://schemas.openxmlformats.org/officeDocument/2006/relationships/hyperlink" Target="https://lti.umuc.edu/contentadaptor/topics/byid/26ee49fd-62cb-4b5b-8af4-5ce773541cd4" TargetMode="External"/><Relationship Id="rId10" Type="http://schemas.openxmlformats.org/officeDocument/2006/relationships/hyperlink" Target="https://lti.umuc.edu/contentadaptor/topics/byid/b92329d4-fa13-4bfc-9b70-2b79b5e3989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s://lti.umuc.edu/contentadaptor/topics/byid/acb7d67e-8c45-49e7-86a5-c1b2b022b4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13</Pages>
  <Words>4048</Words>
  <Characters>23079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Rodrick Stephen</dc:creator>
  <cp:keywords/>
  <dc:description/>
  <cp:lastModifiedBy>Rodrick Stephen</cp:lastModifiedBy>
  <cp:revision>2</cp:revision>
  <dcterms:created xsi:type="dcterms:W3CDTF">2018-04-28T07:31:00Z</dcterms:created>
  <dcterms:modified xsi:type="dcterms:W3CDTF">2018-04-28T08:05:00Z</dcterms:modified>
</cp:coreProperties>
</file>